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DD4" w:rsidRPr="008B303E" w:rsidRDefault="00071DD4" w:rsidP="007B4483">
      <w:pPr>
        <w:spacing w:after="0" w:line="360" w:lineRule="auto"/>
        <w:jc w:val="both"/>
        <w:rPr>
          <w:rFonts w:ascii="Palatino Linotype" w:hAnsi="Palatino Linotype" w:cs="Tahoma"/>
          <w:b/>
          <w:sz w:val="24"/>
          <w:szCs w:val="24"/>
        </w:rPr>
      </w:pPr>
      <w:r w:rsidRPr="008B303E">
        <w:rPr>
          <w:rFonts w:ascii="Palatino Linotype" w:hAnsi="Palatino Linotype" w:cs="Tahoma"/>
          <w:b/>
          <w:sz w:val="24"/>
          <w:szCs w:val="24"/>
        </w:rPr>
        <w:t>VOTO PARTICULAR QUE FORMULA EL COMISIONADO LUIS GUSTAVO PARRA NORIEGA, EN RELACIÓN CON LA RESOLUCIÓN DEL RECURSO DE REVISIÓN 0</w:t>
      </w:r>
      <w:r w:rsidR="003A7450">
        <w:rPr>
          <w:rFonts w:ascii="Palatino Linotype" w:hAnsi="Palatino Linotype" w:cs="Tahoma"/>
          <w:b/>
          <w:sz w:val="24"/>
          <w:szCs w:val="24"/>
        </w:rPr>
        <w:t>3725</w:t>
      </w:r>
      <w:r w:rsidRPr="008B303E">
        <w:rPr>
          <w:rFonts w:ascii="Palatino Linotype" w:hAnsi="Palatino Linotype" w:cs="Tahoma"/>
          <w:b/>
          <w:bCs/>
          <w:sz w:val="24"/>
          <w:szCs w:val="24"/>
        </w:rPr>
        <w:t xml:space="preserve">/INFOEM/IP/RR/2018 </w:t>
      </w:r>
      <w:r w:rsidRPr="008B303E">
        <w:rPr>
          <w:rFonts w:ascii="Palatino Linotype" w:hAnsi="Palatino Linotype" w:cs="Tahoma"/>
          <w:b/>
          <w:sz w:val="24"/>
          <w:szCs w:val="24"/>
        </w:rPr>
        <w:t>EN CONTRA</w:t>
      </w:r>
      <w:r w:rsidR="003A7450" w:rsidRPr="008B303E">
        <w:rPr>
          <w:rFonts w:ascii="Palatino Linotype" w:hAnsi="Palatino Linotype" w:cs="Tahoma"/>
          <w:b/>
          <w:sz w:val="24"/>
          <w:szCs w:val="24"/>
        </w:rPr>
        <w:t xml:space="preserve"> </w:t>
      </w:r>
      <w:r w:rsidR="003A7450">
        <w:rPr>
          <w:rFonts w:ascii="Palatino Linotype" w:hAnsi="Palatino Linotype" w:cs="Tahoma"/>
          <w:b/>
          <w:sz w:val="24"/>
          <w:szCs w:val="24"/>
        </w:rPr>
        <w:t xml:space="preserve">DEL </w:t>
      </w:r>
      <w:r w:rsidR="003A7450" w:rsidRPr="003A7450">
        <w:rPr>
          <w:rFonts w:ascii="Palatino Linotype" w:hAnsi="Palatino Linotype" w:cs="Tahoma"/>
          <w:b/>
          <w:sz w:val="24"/>
          <w:szCs w:val="24"/>
          <w:lang w:val="es-MX"/>
        </w:rPr>
        <w:t>COLEGIO DE EDUCACIÓN PROFESIONAL TÉCNICA</w:t>
      </w:r>
      <w:r w:rsidR="003A7450">
        <w:rPr>
          <w:rFonts w:ascii="Palatino Linotype" w:hAnsi="Palatino Linotype" w:cs="Tahoma"/>
          <w:b/>
          <w:sz w:val="24"/>
          <w:szCs w:val="24"/>
        </w:rPr>
        <w:t>.</w:t>
      </w:r>
    </w:p>
    <w:p w:rsidR="00071DD4" w:rsidRPr="008B303E" w:rsidRDefault="00071DD4" w:rsidP="007B4483">
      <w:pPr>
        <w:spacing w:after="0" w:line="360" w:lineRule="auto"/>
        <w:jc w:val="both"/>
        <w:rPr>
          <w:rFonts w:ascii="Palatino Linotype" w:hAnsi="Palatino Linotype" w:cs="Tahoma"/>
          <w:sz w:val="24"/>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8B303E">
        <w:rPr>
          <w:rFonts w:ascii="Palatino Linotype" w:hAnsi="Palatino Linotype" w:cs="Tahoma"/>
          <w:b/>
          <w:sz w:val="24"/>
          <w:szCs w:val="24"/>
        </w:rPr>
        <w:t>Voto Particular</w:t>
      </w:r>
      <w:r w:rsidRPr="008B303E">
        <w:rPr>
          <w:rFonts w:ascii="Palatino Linotype" w:hAnsi="Palatino Linotype" w:cs="Tahoma"/>
          <w:sz w:val="24"/>
          <w:szCs w:val="24"/>
        </w:rPr>
        <w:t xml:space="preserve"> por no compartir en su totalidad las consideraciones que sustentan la Resolución del Recurso de Revisión 03</w:t>
      </w:r>
      <w:r w:rsidR="003A7450">
        <w:rPr>
          <w:rFonts w:ascii="Palatino Linotype" w:hAnsi="Palatino Linotype" w:cs="Tahoma"/>
          <w:sz w:val="24"/>
          <w:szCs w:val="24"/>
        </w:rPr>
        <w:t>725</w:t>
      </w:r>
      <w:r w:rsidRPr="008B303E">
        <w:rPr>
          <w:rFonts w:ascii="Palatino Linotype" w:hAnsi="Palatino Linotype" w:cs="Tahoma"/>
          <w:bCs/>
          <w:sz w:val="24"/>
          <w:szCs w:val="24"/>
        </w:rPr>
        <w:t>/INFOEM/IP/RR/201</w:t>
      </w:r>
      <w:r w:rsidR="00F86F4C">
        <w:rPr>
          <w:rFonts w:ascii="Palatino Linotype" w:hAnsi="Palatino Linotype" w:cs="Tahoma"/>
          <w:bCs/>
          <w:sz w:val="24"/>
          <w:szCs w:val="24"/>
        </w:rPr>
        <w:t>8.</w:t>
      </w:r>
    </w:p>
    <w:p w:rsidR="00071DD4" w:rsidRPr="008B303E" w:rsidRDefault="00071DD4" w:rsidP="007B4483">
      <w:pPr>
        <w:spacing w:after="0" w:line="360" w:lineRule="auto"/>
        <w:jc w:val="both"/>
        <w:rPr>
          <w:rFonts w:ascii="Palatino Linotype" w:hAnsi="Palatino Linotype" w:cs="Tahoma"/>
          <w:sz w:val="24"/>
          <w:szCs w:val="24"/>
        </w:rPr>
      </w:pPr>
    </w:p>
    <w:p w:rsidR="003A7450" w:rsidRDefault="00071DD4" w:rsidP="007B4483">
      <w:pPr>
        <w:spacing w:after="0" w:line="360" w:lineRule="auto"/>
        <w:jc w:val="both"/>
        <w:rPr>
          <w:rFonts w:ascii="Palatino Linotype" w:hAnsi="Palatino Linotype"/>
          <w:sz w:val="24"/>
          <w:szCs w:val="24"/>
        </w:rPr>
      </w:pPr>
      <w:r w:rsidRPr="008B303E">
        <w:rPr>
          <w:rFonts w:ascii="Palatino Linotype" w:hAnsi="Palatino Linotype" w:cs="Tahoma"/>
          <w:sz w:val="24"/>
          <w:szCs w:val="24"/>
        </w:rPr>
        <w:t xml:space="preserve">Como se advierte en los antecedentes de la resolución del </w:t>
      </w:r>
      <w:r w:rsidR="00F855BA">
        <w:rPr>
          <w:rFonts w:ascii="Palatino Linotype" w:hAnsi="Palatino Linotype" w:cs="Tahoma"/>
          <w:sz w:val="24"/>
          <w:szCs w:val="24"/>
        </w:rPr>
        <w:t>R</w:t>
      </w:r>
      <w:r w:rsidR="00F855BA" w:rsidRPr="008B303E">
        <w:rPr>
          <w:rFonts w:ascii="Palatino Linotype" w:hAnsi="Palatino Linotype" w:cs="Tahoma"/>
          <w:sz w:val="24"/>
          <w:szCs w:val="24"/>
        </w:rPr>
        <w:t xml:space="preserve">ecurso </w:t>
      </w:r>
      <w:r w:rsidRPr="008B303E">
        <w:rPr>
          <w:rFonts w:ascii="Palatino Linotype" w:hAnsi="Palatino Linotype" w:cs="Tahoma"/>
          <w:sz w:val="24"/>
          <w:szCs w:val="24"/>
        </w:rPr>
        <w:t xml:space="preserve">de </w:t>
      </w:r>
      <w:r w:rsidR="00F855BA">
        <w:rPr>
          <w:rFonts w:ascii="Palatino Linotype" w:hAnsi="Palatino Linotype" w:cs="Tahoma"/>
          <w:sz w:val="24"/>
          <w:szCs w:val="24"/>
        </w:rPr>
        <w:t>R</w:t>
      </w:r>
      <w:r w:rsidR="00F855BA" w:rsidRPr="008B303E">
        <w:rPr>
          <w:rFonts w:ascii="Palatino Linotype" w:hAnsi="Palatino Linotype" w:cs="Tahoma"/>
          <w:sz w:val="24"/>
          <w:szCs w:val="24"/>
        </w:rPr>
        <w:t xml:space="preserve">evisión </w:t>
      </w:r>
      <w:r w:rsidRPr="008B303E">
        <w:rPr>
          <w:rFonts w:ascii="Palatino Linotype" w:hAnsi="Palatino Linotype" w:cs="Tahoma"/>
          <w:sz w:val="24"/>
          <w:szCs w:val="24"/>
        </w:rPr>
        <w:t>que no</w:t>
      </w:r>
      <w:r w:rsidR="003A7450">
        <w:rPr>
          <w:rFonts w:ascii="Palatino Linotype" w:hAnsi="Palatino Linotype" w:cs="Tahoma"/>
          <w:sz w:val="24"/>
          <w:szCs w:val="24"/>
        </w:rPr>
        <w:t xml:space="preserve">s ocupa, el particular requirió, respecto a la cafetería escolar </w:t>
      </w:r>
      <w:r w:rsidR="003A7450">
        <w:rPr>
          <w:rFonts w:ascii="Palatino Linotype" w:hAnsi="Palatino Linotype"/>
          <w:sz w:val="24"/>
          <w:szCs w:val="24"/>
        </w:rPr>
        <w:t>del Plantel Toluca del Colegio de Educación Profesional Técnica del Estado de México, lo siguiente:</w:t>
      </w:r>
    </w:p>
    <w:p w:rsidR="003A7450" w:rsidRDefault="003A7450" w:rsidP="007B4483">
      <w:pPr>
        <w:spacing w:after="0" w:line="360" w:lineRule="auto"/>
        <w:jc w:val="both"/>
        <w:rPr>
          <w:rFonts w:ascii="Palatino Linotype" w:hAnsi="Palatino Linotype"/>
          <w:sz w:val="24"/>
          <w:szCs w:val="24"/>
        </w:rPr>
      </w:pPr>
    </w:p>
    <w:p w:rsidR="003A7450" w:rsidRPr="003A7450" w:rsidRDefault="003A7450" w:rsidP="003A7450">
      <w:pPr>
        <w:numPr>
          <w:ilvl w:val="0"/>
          <w:numId w:val="5"/>
        </w:numPr>
        <w:spacing w:after="0" w:line="360" w:lineRule="auto"/>
        <w:jc w:val="both"/>
        <w:rPr>
          <w:rFonts w:ascii="Palatino Linotype" w:hAnsi="Palatino Linotype" w:cs="Tahoma"/>
          <w:sz w:val="24"/>
          <w:szCs w:val="24"/>
        </w:rPr>
      </w:pPr>
      <w:r w:rsidRPr="003A7450">
        <w:rPr>
          <w:rFonts w:ascii="Palatino Linotype" w:hAnsi="Palatino Linotype" w:cs="Tahoma"/>
          <w:sz w:val="24"/>
          <w:szCs w:val="24"/>
        </w:rPr>
        <w:t>Nombre de la persona física o jurídica colectiva responsable de la atención de la cafetería escolar.</w:t>
      </w:r>
    </w:p>
    <w:p w:rsidR="003A7450" w:rsidRPr="003A7450" w:rsidRDefault="003A7450" w:rsidP="003A7450">
      <w:pPr>
        <w:numPr>
          <w:ilvl w:val="0"/>
          <w:numId w:val="5"/>
        </w:numPr>
        <w:spacing w:after="0" w:line="360" w:lineRule="auto"/>
        <w:jc w:val="both"/>
        <w:rPr>
          <w:rFonts w:ascii="Palatino Linotype" w:hAnsi="Palatino Linotype" w:cs="Tahoma"/>
          <w:sz w:val="24"/>
          <w:szCs w:val="24"/>
        </w:rPr>
      </w:pPr>
      <w:r w:rsidRPr="003A7450">
        <w:rPr>
          <w:rFonts w:ascii="Palatino Linotype" w:hAnsi="Palatino Linotype" w:cs="Tahoma"/>
          <w:sz w:val="24"/>
          <w:szCs w:val="24"/>
        </w:rPr>
        <w:t>Cu</w:t>
      </w:r>
      <w:r w:rsidR="00F855BA">
        <w:rPr>
          <w:rFonts w:ascii="Palatino Linotype" w:hAnsi="Palatino Linotype" w:cs="Tahoma"/>
          <w:sz w:val="24"/>
          <w:szCs w:val="24"/>
        </w:rPr>
        <w:t>á</w:t>
      </w:r>
      <w:r w:rsidRPr="003A7450">
        <w:rPr>
          <w:rFonts w:ascii="Palatino Linotype" w:hAnsi="Palatino Linotype" w:cs="Tahoma"/>
          <w:sz w:val="24"/>
          <w:szCs w:val="24"/>
        </w:rPr>
        <w:t>l fue el acto jurídico de autoridad y/o servidor público, por el que, la persona de que se trate, accedió a la atención u operación de la cafetería escolar.</w:t>
      </w:r>
    </w:p>
    <w:p w:rsidR="003A7450" w:rsidRPr="003A7450" w:rsidRDefault="003A7450" w:rsidP="003A7450">
      <w:pPr>
        <w:numPr>
          <w:ilvl w:val="0"/>
          <w:numId w:val="5"/>
        </w:numPr>
        <w:spacing w:after="0" w:line="360" w:lineRule="auto"/>
        <w:jc w:val="both"/>
        <w:rPr>
          <w:rFonts w:ascii="Palatino Linotype" w:hAnsi="Palatino Linotype" w:cs="Tahoma"/>
          <w:sz w:val="24"/>
          <w:szCs w:val="24"/>
        </w:rPr>
      </w:pPr>
      <w:r w:rsidRPr="003A7450">
        <w:rPr>
          <w:rFonts w:ascii="Palatino Linotype" w:hAnsi="Palatino Linotype" w:cs="Tahoma"/>
          <w:sz w:val="24"/>
          <w:szCs w:val="24"/>
        </w:rPr>
        <w:lastRenderedPageBreak/>
        <w:t>Quien autoriz</w:t>
      </w:r>
      <w:r w:rsidR="00F855BA">
        <w:rPr>
          <w:rFonts w:ascii="Palatino Linotype" w:hAnsi="Palatino Linotype" w:cs="Tahoma"/>
          <w:sz w:val="24"/>
          <w:szCs w:val="24"/>
        </w:rPr>
        <w:t>ó</w:t>
      </w:r>
      <w:r w:rsidRPr="003A7450">
        <w:rPr>
          <w:rFonts w:ascii="Palatino Linotype" w:hAnsi="Palatino Linotype" w:cs="Tahoma"/>
          <w:sz w:val="24"/>
          <w:szCs w:val="24"/>
        </w:rPr>
        <w:t xml:space="preserve"> y con qué facultades, el acto jurídico por el que, la persona de que se trate, accedió a la atención u operación de la cafetería escolar.</w:t>
      </w:r>
    </w:p>
    <w:p w:rsidR="003A7450" w:rsidRPr="003A7450" w:rsidRDefault="003A7450" w:rsidP="003A7450">
      <w:pPr>
        <w:numPr>
          <w:ilvl w:val="0"/>
          <w:numId w:val="5"/>
        </w:numPr>
        <w:spacing w:after="0" w:line="360" w:lineRule="auto"/>
        <w:jc w:val="both"/>
        <w:rPr>
          <w:rFonts w:ascii="Palatino Linotype" w:hAnsi="Palatino Linotype" w:cs="Tahoma"/>
          <w:sz w:val="24"/>
          <w:szCs w:val="24"/>
        </w:rPr>
      </w:pPr>
      <w:r w:rsidRPr="003A7450">
        <w:rPr>
          <w:rFonts w:ascii="Palatino Linotype" w:hAnsi="Palatino Linotype" w:cs="Tahoma"/>
          <w:sz w:val="24"/>
          <w:szCs w:val="24"/>
        </w:rPr>
        <w:t>Cuál es la experiencia, formación técnica o capacidad profesional que tiene la persona de que se trate, para la atención u operación de la cafetería escolar.</w:t>
      </w:r>
    </w:p>
    <w:p w:rsidR="003A7450" w:rsidRPr="003A7450" w:rsidRDefault="003A7450" w:rsidP="003A7450">
      <w:pPr>
        <w:numPr>
          <w:ilvl w:val="0"/>
          <w:numId w:val="5"/>
        </w:numPr>
        <w:spacing w:after="0" w:line="360" w:lineRule="auto"/>
        <w:jc w:val="both"/>
        <w:rPr>
          <w:rFonts w:ascii="Palatino Linotype" w:hAnsi="Palatino Linotype" w:cs="Tahoma"/>
          <w:sz w:val="24"/>
          <w:szCs w:val="24"/>
        </w:rPr>
      </w:pPr>
      <w:r w:rsidRPr="003A7450">
        <w:rPr>
          <w:rFonts w:ascii="Palatino Linotype" w:hAnsi="Palatino Linotype" w:cs="Tahoma"/>
          <w:sz w:val="24"/>
          <w:szCs w:val="24"/>
        </w:rPr>
        <w:t>Solicito se me expida copia simple de los documentos que integran el expediente o legajo  del acto jurídico, por el que la autoridad y/o servidor público competentes autorizaron a la persona de que se trate, para la atención u operación de la cafetería escolar.</w:t>
      </w:r>
    </w:p>
    <w:p w:rsidR="00071DD4" w:rsidRPr="00AF0152" w:rsidRDefault="00071DD4" w:rsidP="003A7450">
      <w:pPr>
        <w:spacing w:after="0" w:line="360" w:lineRule="auto"/>
        <w:ind w:right="567"/>
        <w:jc w:val="both"/>
        <w:rPr>
          <w:rFonts w:ascii="Palatino Linotype" w:hAnsi="Palatino Linotype" w:cs="Tahoma"/>
          <w:sz w:val="20"/>
          <w:szCs w:val="20"/>
        </w:rPr>
      </w:pPr>
    </w:p>
    <w:p w:rsidR="00AF0152"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 xml:space="preserve">En </w:t>
      </w:r>
      <w:r w:rsidR="00AF0152">
        <w:rPr>
          <w:rFonts w:ascii="Palatino Linotype" w:hAnsi="Palatino Linotype" w:cs="Tahoma"/>
          <w:sz w:val="24"/>
          <w:szCs w:val="24"/>
        </w:rPr>
        <w:t>atención a la solicitud el Sujeto Obligado entregó diversos documentos</w:t>
      </w:r>
      <w:r w:rsidR="003A7450">
        <w:rPr>
          <w:rFonts w:ascii="Palatino Linotype" w:hAnsi="Palatino Linotype" w:cs="Tahoma"/>
          <w:sz w:val="24"/>
          <w:szCs w:val="24"/>
        </w:rPr>
        <w:t>, por medio de</w:t>
      </w:r>
      <w:r w:rsidR="00F855BA">
        <w:rPr>
          <w:rFonts w:ascii="Palatino Linotype" w:hAnsi="Palatino Linotype" w:cs="Tahoma"/>
          <w:sz w:val="24"/>
          <w:szCs w:val="24"/>
        </w:rPr>
        <w:t xml:space="preserve"> los</w:t>
      </w:r>
      <w:r w:rsidR="003A7450">
        <w:rPr>
          <w:rFonts w:ascii="Palatino Linotype" w:hAnsi="Palatino Linotype" w:cs="Tahoma"/>
          <w:sz w:val="24"/>
          <w:szCs w:val="24"/>
        </w:rPr>
        <w:t xml:space="preserve"> cual</w:t>
      </w:r>
      <w:r w:rsidR="00F855BA">
        <w:rPr>
          <w:rFonts w:ascii="Palatino Linotype" w:hAnsi="Palatino Linotype" w:cs="Tahoma"/>
          <w:sz w:val="24"/>
          <w:szCs w:val="24"/>
        </w:rPr>
        <w:t>es</w:t>
      </w:r>
      <w:r w:rsidR="003A7450">
        <w:rPr>
          <w:rFonts w:ascii="Palatino Linotype" w:hAnsi="Palatino Linotype" w:cs="Tahoma"/>
          <w:sz w:val="24"/>
          <w:szCs w:val="24"/>
        </w:rPr>
        <w:t xml:space="preserve"> d</w:t>
      </w:r>
      <w:r w:rsidR="00F855BA">
        <w:rPr>
          <w:rFonts w:ascii="Palatino Linotype" w:hAnsi="Palatino Linotype" w:cs="Tahoma"/>
          <w:sz w:val="24"/>
          <w:szCs w:val="24"/>
        </w:rPr>
        <w:t>io</w:t>
      </w:r>
      <w:r w:rsidR="003A7450">
        <w:rPr>
          <w:rFonts w:ascii="Palatino Linotype" w:hAnsi="Palatino Linotype" w:cs="Tahoma"/>
          <w:sz w:val="24"/>
          <w:szCs w:val="24"/>
        </w:rPr>
        <w:t xml:space="preserve"> atención a cada punto solicitado por el Particular</w:t>
      </w:r>
      <w:r w:rsidR="0042054B">
        <w:rPr>
          <w:rFonts w:ascii="Palatino Linotype" w:hAnsi="Palatino Linotype" w:cs="Tahoma"/>
          <w:sz w:val="24"/>
          <w:szCs w:val="24"/>
        </w:rPr>
        <w:t>, además, proporcionó respecto al punto 5, versión pública de distintos documentos.</w:t>
      </w:r>
    </w:p>
    <w:p w:rsidR="00AF0152" w:rsidRDefault="00AF0152" w:rsidP="007B4483">
      <w:pPr>
        <w:spacing w:after="0" w:line="360" w:lineRule="auto"/>
        <w:jc w:val="both"/>
        <w:rPr>
          <w:rFonts w:ascii="Palatino Linotype" w:hAnsi="Palatino Linotype" w:cs="Tahoma"/>
          <w:sz w:val="24"/>
          <w:szCs w:val="24"/>
        </w:rPr>
      </w:pPr>
    </w:p>
    <w:p w:rsidR="0042054B" w:rsidRDefault="00923D48" w:rsidP="007B4483">
      <w:pPr>
        <w:spacing w:after="0" w:line="360" w:lineRule="auto"/>
        <w:jc w:val="both"/>
        <w:rPr>
          <w:rFonts w:ascii="Palatino Linotype" w:hAnsi="Palatino Linotype" w:cs="Tahoma"/>
          <w:sz w:val="24"/>
          <w:szCs w:val="24"/>
        </w:rPr>
      </w:pPr>
      <w:r>
        <w:rPr>
          <w:rFonts w:ascii="Palatino Linotype" w:hAnsi="Palatino Linotype" w:cs="Tahoma"/>
          <w:sz w:val="24"/>
          <w:szCs w:val="24"/>
        </w:rPr>
        <w:t xml:space="preserve">Inconforme con la respuesta que le fue otorgada a su solicitud de información, el Particular presentó un Recurso de Revisión ante este Instituto, en el cual señaló, respecto al punto 3 de la solicitud de información, que el Sujeto Obligado solamente </w:t>
      </w:r>
      <w:r w:rsidR="00624346">
        <w:rPr>
          <w:rFonts w:ascii="Palatino Linotype" w:hAnsi="Palatino Linotype" w:cs="Tahoma"/>
          <w:sz w:val="24"/>
          <w:szCs w:val="24"/>
        </w:rPr>
        <w:t xml:space="preserve">precisó quién autorizó el acto jurídico, a saber, la </w:t>
      </w:r>
      <w:r w:rsidR="00624346" w:rsidRPr="00624346">
        <w:rPr>
          <w:rFonts w:ascii="Palatino Linotype" w:hAnsi="Palatino Linotype" w:cs="Tahoma"/>
          <w:sz w:val="24"/>
          <w:szCs w:val="24"/>
        </w:rPr>
        <w:t xml:space="preserve">Comisión para la Evaluación, </w:t>
      </w:r>
      <w:proofErr w:type="spellStart"/>
      <w:r w:rsidR="00624346" w:rsidRPr="00624346">
        <w:rPr>
          <w:rFonts w:ascii="Palatino Linotype" w:hAnsi="Palatino Linotype" w:cs="Tahoma"/>
          <w:sz w:val="24"/>
          <w:szCs w:val="24"/>
        </w:rPr>
        <w:t>Dictamina</w:t>
      </w:r>
      <w:r w:rsidR="00F855BA">
        <w:rPr>
          <w:rFonts w:ascii="Palatino Linotype" w:hAnsi="Palatino Linotype" w:cs="Tahoma"/>
          <w:sz w:val="24"/>
          <w:szCs w:val="24"/>
        </w:rPr>
        <w:t>ción</w:t>
      </w:r>
      <w:proofErr w:type="spellEnd"/>
      <w:r w:rsidR="00624346" w:rsidRPr="00624346">
        <w:rPr>
          <w:rFonts w:ascii="Palatino Linotype" w:hAnsi="Palatino Linotype" w:cs="Tahoma"/>
          <w:sz w:val="24"/>
          <w:szCs w:val="24"/>
        </w:rPr>
        <w:t xml:space="preserve"> y Asignación de Comodatarios</w:t>
      </w:r>
      <w:r w:rsidR="00624346">
        <w:rPr>
          <w:rFonts w:ascii="Palatino Linotype" w:hAnsi="Palatino Linotype" w:cs="Tahoma"/>
          <w:sz w:val="24"/>
          <w:szCs w:val="24"/>
        </w:rPr>
        <w:t>, pero había omitido señalar bajo qu</w:t>
      </w:r>
      <w:r w:rsidR="00F855BA">
        <w:rPr>
          <w:rFonts w:ascii="Palatino Linotype" w:hAnsi="Palatino Linotype" w:cs="Tahoma"/>
          <w:sz w:val="24"/>
          <w:szCs w:val="24"/>
        </w:rPr>
        <w:t>é</w:t>
      </w:r>
      <w:r w:rsidR="00624346">
        <w:rPr>
          <w:rFonts w:ascii="Palatino Linotype" w:hAnsi="Palatino Linotype" w:cs="Tahoma"/>
          <w:sz w:val="24"/>
          <w:szCs w:val="24"/>
        </w:rPr>
        <w:t xml:space="preserve"> preceptos jurídicos de derecho público se fundamentó para autorizar el mismo.</w:t>
      </w:r>
    </w:p>
    <w:p w:rsidR="0042054B" w:rsidRDefault="0042054B" w:rsidP="007B4483">
      <w:pPr>
        <w:spacing w:after="0" w:line="360" w:lineRule="auto"/>
        <w:jc w:val="both"/>
        <w:rPr>
          <w:rFonts w:ascii="Palatino Linotype" w:hAnsi="Palatino Linotype" w:cs="Tahoma"/>
          <w:sz w:val="24"/>
          <w:szCs w:val="24"/>
        </w:rPr>
      </w:pPr>
    </w:p>
    <w:p w:rsidR="00071DD4" w:rsidRPr="00624346" w:rsidRDefault="00AF0152" w:rsidP="007B4483">
      <w:pPr>
        <w:spacing w:after="0" w:line="360" w:lineRule="auto"/>
        <w:jc w:val="both"/>
        <w:rPr>
          <w:rFonts w:ascii="Palatino Linotype" w:hAnsi="Palatino Linotype" w:cs="Tahoma"/>
          <w:b/>
          <w:sz w:val="24"/>
          <w:szCs w:val="24"/>
        </w:rPr>
      </w:pPr>
      <w:r>
        <w:rPr>
          <w:rFonts w:ascii="Palatino Linotype" w:hAnsi="Palatino Linotype" w:cs="Tahoma"/>
          <w:sz w:val="24"/>
          <w:szCs w:val="24"/>
        </w:rPr>
        <w:t>Como se advierte de lo anterior,</w:t>
      </w:r>
      <w:r w:rsidR="00DF1276">
        <w:rPr>
          <w:rFonts w:ascii="Palatino Linotype" w:hAnsi="Palatino Linotype" w:cs="Tahoma"/>
          <w:sz w:val="24"/>
          <w:szCs w:val="24"/>
        </w:rPr>
        <w:t xml:space="preserve"> el particular únicamente se inconforma </w:t>
      </w:r>
      <w:r w:rsidR="00624346">
        <w:rPr>
          <w:rFonts w:ascii="Palatino Linotype" w:hAnsi="Palatino Linotype" w:cs="Tahoma"/>
          <w:sz w:val="24"/>
          <w:szCs w:val="24"/>
        </w:rPr>
        <w:t xml:space="preserve">por la entrega de información incompleta, por lo que hace al punto 3 del requerimiento informativo, por lo que, respecto a los puntos restantes se tomaron como </w:t>
      </w:r>
      <w:r w:rsidR="00624346">
        <w:rPr>
          <w:rFonts w:ascii="Palatino Linotype" w:hAnsi="Palatino Linotype" w:cs="Tahoma"/>
          <w:b/>
          <w:sz w:val="24"/>
          <w:szCs w:val="24"/>
        </w:rPr>
        <w:t>ACTOS CONSENTIDOS.</w:t>
      </w:r>
    </w:p>
    <w:p w:rsidR="00DF1276" w:rsidRDefault="00DF1276" w:rsidP="007B4483">
      <w:pPr>
        <w:spacing w:after="0" w:line="360" w:lineRule="auto"/>
        <w:jc w:val="both"/>
        <w:rPr>
          <w:rFonts w:ascii="Palatino Linotype" w:hAnsi="Palatino Linotype" w:cs="Tahoma"/>
          <w:sz w:val="24"/>
          <w:szCs w:val="24"/>
        </w:rPr>
      </w:pPr>
    </w:p>
    <w:p w:rsidR="00071DD4" w:rsidRDefault="00D0798A" w:rsidP="007B4483">
      <w:pPr>
        <w:spacing w:after="0" w:line="360" w:lineRule="auto"/>
        <w:jc w:val="both"/>
        <w:rPr>
          <w:rFonts w:ascii="Palatino Linotype" w:hAnsi="Palatino Linotype" w:cs="Tahoma"/>
          <w:spacing w:val="-2"/>
          <w:sz w:val="24"/>
          <w:szCs w:val="24"/>
        </w:rPr>
      </w:pPr>
      <w:r>
        <w:rPr>
          <w:rFonts w:ascii="Palatino Linotype" w:hAnsi="Palatino Linotype" w:cs="Tahoma"/>
          <w:spacing w:val="-2"/>
          <w:sz w:val="24"/>
          <w:szCs w:val="24"/>
        </w:rPr>
        <w:t xml:space="preserve">Así, </w:t>
      </w:r>
      <w:r w:rsidR="00DF1276">
        <w:rPr>
          <w:rFonts w:ascii="Palatino Linotype" w:hAnsi="Palatino Linotype" w:cs="Tahoma"/>
          <w:spacing w:val="-2"/>
          <w:sz w:val="24"/>
          <w:szCs w:val="24"/>
        </w:rPr>
        <w:t xml:space="preserve">se considera que aquello que no fue recurrido por el particular </w:t>
      </w:r>
      <w:r w:rsidR="00071DD4" w:rsidRPr="008B303E">
        <w:rPr>
          <w:rFonts w:ascii="Palatino Linotype" w:hAnsi="Palatino Linotype" w:cs="Tahoma"/>
          <w:spacing w:val="-2"/>
          <w:sz w:val="24"/>
          <w:szCs w:val="24"/>
        </w:rPr>
        <w:t xml:space="preserve">no debe ser motivo de análisis, pues es un principio procesal elemental que </w:t>
      </w:r>
      <w:r w:rsidR="00071DD4" w:rsidRPr="008B303E">
        <w:rPr>
          <w:rFonts w:ascii="Palatino Linotype" w:hAnsi="Palatino Linotype" w:cs="Tahoma"/>
          <w:b/>
          <w:spacing w:val="-2"/>
          <w:sz w:val="24"/>
          <w:szCs w:val="24"/>
        </w:rPr>
        <w:t>cualquier pretensión deducida ante los órganos jurisdiccionales es una manifestación de voluntad</w:t>
      </w:r>
      <w:r w:rsidR="00071DD4" w:rsidRPr="008B303E">
        <w:rPr>
          <w:rFonts w:ascii="Palatino Linotype" w:hAnsi="Palatino Linotype" w:cs="Tahoma"/>
          <w:spacing w:val="-2"/>
          <w:sz w:val="24"/>
          <w:szCs w:val="24"/>
        </w:rPr>
        <w:t>, expuesta como razonamiento estratégico, atinente a un fin concreto, que es reconocer y declarar en la sentencia al pretensor como titular de un derecho cuya realización y efectos reclama.</w:t>
      </w:r>
    </w:p>
    <w:p w:rsidR="00624346" w:rsidRDefault="00624346" w:rsidP="007B4483">
      <w:pPr>
        <w:spacing w:after="0" w:line="360" w:lineRule="auto"/>
        <w:jc w:val="both"/>
        <w:rPr>
          <w:rFonts w:ascii="Palatino Linotype" w:hAnsi="Palatino Linotype" w:cs="Tahoma"/>
          <w:spacing w:val="-2"/>
          <w:sz w:val="24"/>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 xml:space="preserve">De ahí que, si no existe razón en la causa </w:t>
      </w:r>
      <w:proofErr w:type="spellStart"/>
      <w:r w:rsidRPr="008B303E">
        <w:rPr>
          <w:rFonts w:ascii="Palatino Linotype" w:hAnsi="Palatino Linotype" w:cs="Tahoma"/>
          <w:i/>
          <w:sz w:val="24"/>
          <w:szCs w:val="24"/>
        </w:rPr>
        <w:t>petendi</w:t>
      </w:r>
      <w:proofErr w:type="spellEnd"/>
      <w:r w:rsidRPr="008B303E">
        <w:rPr>
          <w:rFonts w:ascii="Palatino Linotype" w:hAnsi="Palatino Linotype" w:cs="Tahoma"/>
          <w:i/>
          <w:sz w:val="24"/>
          <w:szCs w:val="24"/>
        </w:rPr>
        <w:t xml:space="preserve"> </w:t>
      </w:r>
      <w:r w:rsidRPr="008B303E">
        <w:rPr>
          <w:rFonts w:ascii="Palatino Linotype" w:hAnsi="Palatino Linotype" w:cs="Tahoma"/>
          <w:sz w:val="24"/>
          <w:szCs w:val="24"/>
        </w:rPr>
        <w:t>(que el inconforme precise el agravio o lesión que le cause el acto reclamado), en relación con la respuesta otorgada por el Sujeto Obligado, de forma tal que permitan a este Instituto determinar mediante resolución fundada y motivada una consecuencia jurídica sobre los actos recaídos a dicho punto, la respuesta que se otorgó al mismo no debe ser analizada.</w:t>
      </w:r>
    </w:p>
    <w:p w:rsidR="00071DD4" w:rsidRPr="008B303E" w:rsidRDefault="00071DD4" w:rsidP="007B4483">
      <w:pPr>
        <w:spacing w:after="0" w:line="360" w:lineRule="auto"/>
        <w:jc w:val="both"/>
        <w:rPr>
          <w:rFonts w:ascii="Palatino Linotype" w:hAnsi="Palatino Linotype" w:cs="Tahoma"/>
          <w:sz w:val="24"/>
          <w:szCs w:val="24"/>
        </w:rPr>
      </w:pPr>
    </w:p>
    <w:p w:rsidR="00071DD4" w:rsidRDefault="00071DD4" w:rsidP="007B4483">
      <w:pPr>
        <w:spacing w:after="0" w:line="360" w:lineRule="auto"/>
        <w:jc w:val="both"/>
        <w:rPr>
          <w:rFonts w:ascii="Palatino Linotype" w:hAnsi="Palatino Linotype" w:cs="Tahoma"/>
          <w:bCs/>
          <w:iCs/>
          <w:sz w:val="24"/>
          <w:szCs w:val="24"/>
        </w:rPr>
      </w:pPr>
      <w:r w:rsidRPr="008B303E">
        <w:rPr>
          <w:rFonts w:ascii="Palatino Linotype" w:hAnsi="Palatino Linotype" w:cs="Tahoma"/>
          <w:sz w:val="24"/>
          <w:szCs w:val="24"/>
        </w:rPr>
        <w:t xml:space="preserve">En ese sentido, la respuesta o falta de </w:t>
      </w:r>
      <w:r w:rsidR="007364C6">
        <w:rPr>
          <w:rFonts w:ascii="Palatino Linotype" w:hAnsi="Palatino Linotype" w:cs="Tahoma"/>
          <w:sz w:val="24"/>
          <w:szCs w:val="24"/>
        </w:rPr>
        <w:t>contestación</w:t>
      </w:r>
      <w:r w:rsidRPr="008B303E">
        <w:rPr>
          <w:rFonts w:ascii="Palatino Linotype" w:hAnsi="Palatino Linotype" w:cs="Tahoma"/>
          <w:sz w:val="24"/>
          <w:szCs w:val="24"/>
        </w:rPr>
        <w:t xml:space="preserve"> a alguna parte de la solicitud debe considerarse un acto consentido tácitamente en razón de que, </w:t>
      </w:r>
      <w:r w:rsidRPr="008B303E">
        <w:rPr>
          <w:rFonts w:ascii="Palatino Linotype" w:hAnsi="Palatino Linotype" w:cs="Tahoma"/>
          <w:bCs/>
          <w:iCs/>
          <w:sz w:val="24"/>
          <w:szCs w:val="24"/>
        </w:rPr>
        <w:t xml:space="preserve">cuando no se reclaman los actos de autoridad en la vía y plazos establecidos en la Ley, </w:t>
      </w:r>
      <w:r w:rsidRPr="008B303E">
        <w:rPr>
          <w:rFonts w:ascii="Palatino Linotype" w:hAnsi="Palatino Linotype" w:cs="Tahoma"/>
          <w:b/>
          <w:bCs/>
          <w:iCs/>
          <w:sz w:val="24"/>
          <w:szCs w:val="24"/>
        </w:rPr>
        <w:t xml:space="preserve">se presume que el particular está conforme con los mismos, </w:t>
      </w:r>
      <w:r w:rsidRPr="008B303E">
        <w:rPr>
          <w:rFonts w:ascii="Palatino Linotype" w:hAnsi="Palatino Linotype" w:cs="Tahoma"/>
          <w:bCs/>
          <w:iCs/>
          <w:sz w:val="24"/>
          <w:szCs w:val="24"/>
        </w:rPr>
        <w:t xml:space="preserve">de acuerdo a lo plasmado en la </w:t>
      </w:r>
      <w:r w:rsidRPr="008B303E">
        <w:rPr>
          <w:rFonts w:ascii="Palatino Linotype" w:hAnsi="Palatino Linotype" w:cs="Tahoma"/>
          <w:sz w:val="24"/>
          <w:szCs w:val="24"/>
        </w:rPr>
        <w:t>Jurisprudencia “ACTOS CONSENTIDOS TACITAMENTE” (</w:t>
      </w:r>
      <w:r w:rsidRPr="008B303E">
        <w:rPr>
          <w:rFonts w:ascii="Palatino Linotype" w:hAnsi="Palatino Linotype" w:cs="Tahoma"/>
          <w:bCs/>
          <w:iCs/>
          <w:sz w:val="24"/>
          <w:szCs w:val="24"/>
        </w:rPr>
        <w:t>Semanario Judicial de la Federación y su Gaceta, Quinta Época,</w:t>
      </w:r>
      <w:r w:rsidRPr="008B303E">
        <w:rPr>
          <w:rFonts w:ascii="Palatino Linotype" w:hAnsi="Palatino Linotype" w:cs="Tahoma"/>
          <w:sz w:val="24"/>
          <w:szCs w:val="24"/>
        </w:rPr>
        <w:t xml:space="preserve"> Tomo VI,</w:t>
      </w:r>
      <w:r w:rsidRPr="008B303E">
        <w:rPr>
          <w:rFonts w:ascii="Palatino Linotype" w:hAnsi="Palatino Linotype" w:cs="Tahoma"/>
          <w:bCs/>
          <w:iCs/>
          <w:sz w:val="24"/>
          <w:szCs w:val="24"/>
        </w:rPr>
        <w:t xml:space="preserve"> 1995, pág. 11.)</w:t>
      </w:r>
    </w:p>
    <w:p w:rsidR="007B4483" w:rsidRDefault="007B4483" w:rsidP="007B4483">
      <w:pPr>
        <w:spacing w:after="0" w:line="360" w:lineRule="auto"/>
        <w:jc w:val="both"/>
        <w:rPr>
          <w:rFonts w:ascii="Palatino Linotype" w:hAnsi="Palatino Linotype" w:cs="Tahoma"/>
          <w:bCs/>
          <w:iCs/>
          <w:sz w:val="24"/>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bCs/>
          <w:iCs/>
          <w:sz w:val="24"/>
          <w:szCs w:val="24"/>
        </w:rPr>
        <w:t xml:space="preserve">En ese orden de ideas, la Tesis Aislada “CONSENTIMIENTO TÁCITO DEL ACTO RECLAMADO EN AMPARO. ELEMENTOS PARA PRESUMIRLO.” (Semanario Judicial de la Federación, Octava Época, Tomo IX, junio de 1992, pág. 364), establece </w:t>
      </w:r>
      <w:r w:rsidRPr="008B303E">
        <w:rPr>
          <w:rFonts w:ascii="Palatino Linotype" w:hAnsi="Palatino Linotype" w:cs="Tahoma"/>
          <w:bCs/>
          <w:iCs/>
          <w:sz w:val="24"/>
          <w:szCs w:val="24"/>
        </w:rPr>
        <w:lastRenderedPageBreak/>
        <w:t xml:space="preserve">los elementos para presumir el consentimiento tácito del acto reclamado en el amparo, a saber, los siguientes: i) Un acto de autoridad; ii) Una persona afectada por el hecho; iii) La posibilidad de promover el juicio de amparo contra el acto en cuestión; iv) El plazo para el ejercicio de dicha acción y v) El trascurso de ese lapso sin haberse presentando inconformidad. </w:t>
      </w:r>
    </w:p>
    <w:p w:rsidR="00071DD4" w:rsidRDefault="00071DD4" w:rsidP="007B4483">
      <w:pPr>
        <w:spacing w:after="0" w:line="360" w:lineRule="auto"/>
        <w:jc w:val="both"/>
        <w:rPr>
          <w:rFonts w:ascii="Palatino Linotype" w:hAnsi="Palatino Linotype" w:cs="Tahoma"/>
          <w:sz w:val="24"/>
          <w:szCs w:val="24"/>
        </w:rPr>
      </w:pPr>
    </w:p>
    <w:p w:rsidR="00624346" w:rsidRDefault="00624346" w:rsidP="007B4483">
      <w:pPr>
        <w:spacing w:after="0" w:line="360" w:lineRule="auto"/>
        <w:jc w:val="both"/>
        <w:rPr>
          <w:rFonts w:ascii="Palatino Linotype" w:hAnsi="Palatino Linotype" w:cs="Tahoma"/>
          <w:sz w:val="24"/>
          <w:szCs w:val="24"/>
        </w:rPr>
      </w:pPr>
      <w:r>
        <w:rPr>
          <w:rFonts w:ascii="Palatino Linotype" w:hAnsi="Palatino Linotype" w:cs="Tahoma"/>
          <w:sz w:val="24"/>
          <w:szCs w:val="24"/>
        </w:rPr>
        <w:t xml:space="preserve">En ese contexto, </w:t>
      </w:r>
      <w:r w:rsidR="00816A0C">
        <w:rPr>
          <w:rFonts w:ascii="Palatino Linotype" w:hAnsi="Palatino Linotype" w:cs="Tahoma"/>
          <w:sz w:val="24"/>
          <w:szCs w:val="24"/>
        </w:rPr>
        <w:t>cabe señalar que en el presente asunto, la Comisionada P</w:t>
      </w:r>
      <w:r w:rsidR="007364C6">
        <w:rPr>
          <w:rFonts w:ascii="Palatino Linotype" w:hAnsi="Palatino Linotype" w:cs="Tahoma"/>
          <w:sz w:val="24"/>
          <w:szCs w:val="24"/>
        </w:rPr>
        <w:t>o</w:t>
      </w:r>
      <w:r w:rsidR="00816A0C">
        <w:rPr>
          <w:rFonts w:ascii="Palatino Linotype" w:hAnsi="Palatino Linotype" w:cs="Tahoma"/>
          <w:sz w:val="24"/>
          <w:szCs w:val="24"/>
        </w:rPr>
        <w:t>nente</w:t>
      </w:r>
      <w:r w:rsidR="007364C6">
        <w:rPr>
          <w:rFonts w:ascii="Palatino Linotype" w:hAnsi="Palatino Linotype" w:cs="Tahoma"/>
          <w:sz w:val="24"/>
          <w:szCs w:val="24"/>
        </w:rPr>
        <w:t xml:space="preserve"> determinó que s</w:t>
      </w:r>
      <w:r w:rsidR="00B1616E">
        <w:rPr>
          <w:rFonts w:ascii="Palatino Linotype" w:hAnsi="Palatino Linotype" w:cs="Tahoma"/>
          <w:sz w:val="24"/>
          <w:szCs w:val="24"/>
        </w:rPr>
        <w:t>í</w:t>
      </w:r>
      <w:r w:rsidR="007364C6">
        <w:rPr>
          <w:rFonts w:ascii="Palatino Linotype" w:hAnsi="Palatino Linotype" w:cs="Tahoma"/>
          <w:sz w:val="24"/>
          <w:szCs w:val="24"/>
        </w:rPr>
        <w:t xml:space="preserve"> resultaba</w:t>
      </w:r>
      <w:r w:rsidR="00B1616E">
        <w:rPr>
          <w:rFonts w:ascii="Palatino Linotype" w:hAnsi="Palatino Linotype" w:cs="Tahoma"/>
          <w:sz w:val="24"/>
          <w:szCs w:val="24"/>
        </w:rPr>
        <w:t>n</w:t>
      </w:r>
      <w:r w:rsidR="007364C6">
        <w:rPr>
          <w:rFonts w:ascii="Palatino Linotype" w:hAnsi="Palatino Linotype" w:cs="Tahoma"/>
          <w:sz w:val="24"/>
          <w:szCs w:val="24"/>
        </w:rPr>
        <w:t xml:space="preserve"> aplicable</w:t>
      </w:r>
      <w:r w:rsidR="00B1616E">
        <w:rPr>
          <w:rFonts w:ascii="Palatino Linotype" w:hAnsi="Palatino Linotype" w:cs="Tahoma"/>
          <w:sz w:val="24"/>
          <w:szCs w:val="24"/>
        </w:rPr>
        <w:t>s</w:t>
      </w:r>
      <w:r w:rsidR="007364C6">
        <w:rPr>
          <w:rFonts w:ascii="Palatino Linotype" w:hAnsi="Palatino Linotype" w:cs="Tahoma"/>
          <w:sz w:val="24"/>
          <w:szCs w:val="24"/>
        </w:rPr>
        <w:t xml:space="preserve"> los Actos Consentidos, por lo que entró al análisis del punto tres de la solicitud, en el cual se advirtió que el Sujeto Obligado, a través de su Informe Justificado modificó su actuar, al señalar el marco normativo y las atribuciones de la </w:t>
      </w:r>
      <w:r w:rsidR="007364C6" w:rsidRPr="00624346">
        <w:rPr>
          <w:rFonts w:ascii="Palatino Linotype" w:hAnsi="Palatino Linotype" w:cs="Tahoma"/>
          <w:sz w:val="24"/>
          <w:szCs w:val="24"/>
        </w:rPr>
        <w:t xml:space="preserve">Comisión para la Evaluación, </w:t>
      </w:r>
      <w:proofErr w:type="spellStart"/>
      <w:r w:rsidR="00B1616E" w:rsidRPr="00624346">
        <w:rPr>
          <w:rFonts w:ascii="Palatino Linotype" w:hAnsi="Palatino Linotype" w:cs="Tahoma"/>
          <w:sz w:val="24"/>
          <w:szCs w:val="24"/>
        </w:rPr>
        <w:t>Dictamina</w:t>
      </w:r>
      <w:r w:rsidR="00B1616E">
        <w:rPr>
          <w:rFonts w:ascii="Palatino Linotype" w:hAnsi="Palatino Linotype" w:cs="Tahoma"/>
          <w:sz w:val="24"/>
          <w:szCs w:val="24"/>
        </w:rPr>
        <w:t>ción</w:t>
      </w:r>
      <w:proofErr w:type="spellEnd"/>
      <w:r w:rsidR="00B1616E" w:rsidRPr="00624346">
        <w:rPr>
          <w:rFonts w:ascii="Palatino Linotype" w:hAnsi="Palatino Linotype" w:cs="Tahoma"/>
          <w:sz w:val="24"/>
          <w:szCs w:val="24"/>
        </w:rPr>
        <w:t xml:space="preserve"> </w:t>
      </w:r>
      <w:r w:rsidR="007364C6" w:rsidRPr="00624346">
        <w:rPr>
          <w:rFonts w:ascii="Palatino Linotype" w:hAnsi="Palatino Linotype" w:cs="Tahoma"/>
          <w:sz w:val="24"/>
          <w:szCs w:val="24"/>
        </w:rPr>
        <w:t>y Asignación de Comodatarios</w:t>
      </w:r>
      <w:r w:rsidR="007364C6">
        <w:rPr>
          <w:rFonts w:ascii="Palatino Linotype" w:hAnsi="Palatino Linotype" w:cs="Tahoma"/>
          <w:sz w:val="24"/>
          <w:szCs w:val="24"/>
        </w:rPr>
        <w:t>, para autorizar el uso de la Cafeter</w:t>
      </w:r>
      <w:r w:rsidR="00DF27A8">
        <w:rPr>
          <w:rFonts w:ascii="Palatino Linotype" w:hAnsi="Palatino Linotype" w:cs="Tahoma"/>
          <w:sz w:val="24"/>
          <w:szCs w:val="24"/>
        </w:rPr>
        <w:t>ía Escolar</w:t>
      </w:r>
      <w:r w:rsidR="00B1616E">
        <w:rPr>
          <w:rFonts w:ascii="Palatino Linotype" w:hAnsi="Palatino Linotype" w:cs="Tahoma"/>
          <w:sz w:val="24"/>
          <w:szCs w:val="24"/>
        </w:rPr>
        <w:t>,</w:t>
      </w:r>
      <w:r w:rsidR="00DF27A8">
        <w:rPr>
          <w:rFonts w:ascii="Palatino Linotype" w:hAnsi="Palatino Linotype" w:cs="Tahoma"/>
          <w:sz w:val="24"/>
          <w:szCs w:val="24"/>
        </w:rPr>
        <w:t xml:space="preserve"> por lo que quedaba solventado el agravio.</w:t>
      </w:r>
    </w:p>
    <w:p w:rsidR="00624346" w:rsidRDefault="00624346" w:rsidP="007B4483">
      <w:pPr>
        <w:spacing w:after="0" w:line="360" w:lineRule="auto"/>
        <w:jc w:val="both"/>
        <w:rPr>
          <w:rFonts w:ascii="Palatino Linotype" w:hAnsi="Palatino Linotype" w:cs="Tahoma"/>
          <w:sz w:val="24"/>
          <w:szCs w:val="24"/>
        </w:rPr>
      </w:pPr>
    </w:p>
    <w:p w:rsidR="007364C6" w:rsidRDefault="00DF27A8" w:rsidP="007B4483">
      <w:pPr>
        <w:spacing w:after="0" w:line="360" w:lineRule="auto"/>
        <w:jc w:val="both"/>
        <w:rPr>
          <w:rFonts w:ascii="Palatino Linotype" w:hAnsi="Palatino Linotype" w:cs="Tahoma"/>
          <w:sz w:val="24"/>
          <w:szCs w:val="24"/>
        </w:rPr>
      </w:pPr>
      <w:r>
        <w:rPr>
          <w:rFonts w:ascii="Palatino Linotype" w:hAnsi="Palatino Linotype" w:cs="Tahoma"/>
          <w:sz w:val="24"/>
          <w:szCs w:val="24"/>
        </w:rPr>
        <w:t xml:space="preserve">No obstante lo anterior, se precisó que si bien se había solventado el agravio del Particular, el Sujeto Obligado omitió entregar el Acta del Comité de Transparencia, donde confirmara la clasificación de los datos testados en las versiones públicas entregadas en respuesta y por lo tanto, se decidió </w:t>
      </w:r>
      <w:r w:rsidRPr="00DF27A8">
        <w:rPr>
          <w:rFonts w:ascii="Palatino Linotype" w:hAnsi="Palatino Linotype" w:cs="Tahoma"/>
          <w:b/>
          <w:sz w:val="24"/>
          <w:szCs w:val="24"/>
        </w:rPr>
        <w:t xml:space="preserve">MODIFICAR </w:t>
      </w:r>
      <w:r>
        <w:rPr>
          <w:rFonts w:ascii="Palatino Linotype" w:hAnsi="Palatino Linotype" w:cs="Tahoma"/>
          <w:sz w:val="24"/>
          <w:szCs w:val="24"/>
        </w:rPr>
        <w:t xml:space="preserve">la respuesta </w:t>
      </w:r>
      <w:r w:rsidR="0050710E">
        <w:rPr>
          <w:rFonts w:ascii="Palatino Linotype" w:hAnsi="Palatino Linotype" w:cs="Tahoma"/>
          <w:sz w:val="24"/>
          <w:szCs w:val="24"/>
        </w:rPr>
        <w:t>del Municipio a efecto de que entregara dicho Acuerdo.</w:t>
      </w:r>
    </w:p>
    <w:p w:rsidR="007364C6" w:rsidRPr="008B303E" w:rsidRDefault="007364C6" w:rsidP="007B4483">
      <w:pPr>
        <w:spacing w:after="0" w:line="360" w:lineRule="auto"/>
        <w:jc w:val="both"/>
        <w:rPr>
          <w:rFonts w:ascii="Palatino Linotype" w:hAnsi="Palatino Linotype" w:cs="Tahoma"/>
          <w:sz w:val="24"/>
          <w:szCs w:val="24"/>
        </w:rPr>
      </w:pPr>
    </w:p>
    <w:p w:rsidR="00071DD4" w:rsidRDefault="0050710E" w:rsidP="007B4483">
      <w:pPr>
        <w:spacing w:after="0" w:line="360" w:lineRule="auto"/>
        <w:jc w:val="both"/>
        <w:rPr>
          <w:rFonts w:ascii="Palatino Linotype" w:hAnsi="Palatino Linotype" w:cs="Tahoma"/>
          <w:sz w:val="24"/>
          <w:szCs w:val="24"/>
        </w:rPr>
      </w:pPr>
      <w:r>
        <w:rPr>
          <w:rFonts w:ascii="Palatino Linotype" w:hAnsi="Palatino Linotype" w:cs="Tahoma"/>
          <w:sz w:val="24"/>
          <w:szCs w:val="24"/>
        </w:rPr>
        <w:t>En ese sentido, desde</w:t>
      </w:r>
      <w:r w:rsidR="00071DD4" w:rsidRPr="008B303E">
        <w:rPr>
          <w:rFonts w:ascii="Palatino Linotype" w:hAnsi="Palatino Linotype" w:cs="Tahoma"/>
          <w:sz w:val="24"/>
          <w:szCs w:val="24"/>
        </w:rPr>
        <w:t xml:space="preserve"> mi perspectiva, toda vez que</w:t>
      </w:r>
      <w:r>
        <w:rPr>
          <w:rFonts w:ascii="Palatino Linotype" w:hAnsi="Palatino Linotype" w:cs="Tahoma"/>
          <w:sz w:val="24"/>
          <w:szCs w:val="24"/>
        </w:rPr>
        <w:t xml:space="preserve"> respecto a las versiones públicas proporcionadas existe: un acto de autoridad</w:t>
      </w:r>
      <w:r w:rsidR="00071DD4" w:rsidRPr="008B303E">
        <w:rPr>
          <w:rFonts w:ascii="Palatino Linotype" w:hAnsi="Palatino Linotype" w:cs="Tahoma"/>
          <w:sz w:val="24"/>
          <w:szCs w:val="24"/>
        </w:rPr>
        <w:t xml:space="preserve">; una persona afectada por el hecho -el ahora recurrente-; la posibilidad de promover el recurso de revisión previsto por el artículo 176 de la Ley de Transparencia y Acceso a la Información Pública del Estado </w:t>
      </w:r>
      <w:r w:rsidR="00071DD4" w:rsidRPr="008B303E">
        <w:rPr>
          <w:rFonts w:ascii="Palatino Linotype" w:hAnsi="Palatino Linotype" w:cs="Tahoma"/>
          <w:sz w:val="24"/>
          <w:szCs w:val="24"/>
        </w:rPr>
        <w:lastRenderedPageBreak/>
        <w:t xml:space="preserve">de México y Municipios, mediante el cual se pretende reparar cualquier posible afectación al derecho de acceso a la información; un plazo legal de quince días hábiles para la interposición del recurso de revisión, conforme al artículo 178 del ordenamiento legal en cita y, que transcurrió el plazo sin que el ahora recurrente manifestara queja alguna con </w:t>
      </w:r>
      <w:r>
        <w:rPr>
          <w:rFonts w:ascii="Palatino Linotype" w:hAnsi="Palatino Linotype" w:cs="Tahoma"/>
          <w:sz w:val="24"/>
          <w:szCs w:val="24"/>
        </w:rPr>
        <w:t>la entrega de dicha información</w:t>
      </w:r>
      <w:r w:rsidR="00071DD4" w:rsidRPr="008B303E">
        <w:rPr>
          <w:rFonts w:ascii="Palatino Linotype" w:hAnsi="Palatino Linotype" w:cs="Tahoma"/>
          <w:sz w:val="24"/>
          <w:szCs w:val="24"/>
        </w:rPr>
        <w:t xml:space="preserve">, debe considerarse </w:t>
      </w:r>
      <w:r>
        <w:rPr>
          <w:rFonts w:ascii="Palatino Linotype" w:hAnsi="Palatino Linotype" w:cs="Tahoma"/>
          <w:sz w:val="24"/>
          <w:szCs w:val="24"/>
        </w:rPr>
        <w:t>que la misma</w:t>
      </w:r>
      <w:r w:rsidR="00071DD4" w:rsidRPr="008B303E">
        <w:rPr>
          <w:rFonts w:ascii="Palatino Linotype" w:hAnsi="Palatino Linotype" w:cs="Tahoma"/>
          <w:sz w:val="24"/>
          <w:szCs w:val="24"/>
        </w:rPr>
        <w:t xml:space="preserve"> es un acto consentido tácitamente.</w:t>
      </w:r>
    </w:p>
    <w:p w:rsidR="0050710E" w:rsidRDefault="0050710E" w:rsidP="007B4483">
      <w:pPr>
        <w:spacing w:after="0" w:line="360" w:lineRule="auto"/>
        <w:jc w:val="both"/>
        <w:rPr>
          <w:rFonts w:ascii="Palatino Linotype" w:hAnsi="Palatino Linotype" w:cs="Tahoma"/>
          <w:sz w:val="24"/>
          <w:szCs w:val="24"/>
        </w:rPr>
      </w:pPr>
    </w:p>
    <w:p w:rsidR="00071DD4" w:rsidRPr="008B303E" w:rsidRDefault="0050710E" w:rsidP="007B4483">
      <w:pPr>
        <w:spacing w:after="0" w:line="360" w:lineRule="auto"/>
        <w:jc w:val="both"/>
        <w:rPr>
          <w:rFonts w:ascii="Palatino Linotype" w:hAnsi="Palatino Linotype" w:cs="Tahoma"/>
          <w:sz w:val="24"/>
          <w:szCs w:val="24"/>
        </w:rPr>
      </w:pPr>
      <w:r>
        <w:rPr>
          <w:rFonts w:ascii="Palatino Linotype" w:hAnsi="Palatino Linotype" w:cs="Tahoma"/>
          <w:sz w:val="24"/>
          <w:szCs w:val="24"/>
        </w:rPr>
        <w:t>Ahora bien, cabe precisar que la Ley de Transparencia y Acceso a la Información P</w:t>
      </w:r>
      <w:r w:rsidR="00053ABD">
        <w:rPr>
          <w:rFonts w:ascii="Palatino Linotype" w:hAnsi="Palatino Linotype" w:cs="Tahoma"/>
          <w:sz w:val="24"/>
          <w:szCs w:val="24"/>
        </w:rPr>
        <w:t>ública</w:t>
      </w:r>
      <w:r w:rsidR="00A8152C">
        <w:rPr>
          <w:rFonts w:ascii="Palatino Linotype" w:hAnsi="Palatino Linotype" w:cs="Tahoma"/>
          <w:sz w:val="24"/>
          <w:szCs w:val="24"/>
        </w:rPr>
        <w:t xml:space="preserve"> del Estado de México y Municipios</w:t>
      </w:r>
      <w:r w:rsidR="00053ABD">
        <w:rPr>
          <w:rFonts w:ascii="Palatino Linotype" w:hAnsi="Palatino Linotype" w:cs="Tahoma"/>
          <w:sz w:val="24"/>
          <w:szCs w:val="24"/>
        </w:rPr>
        <w:t>, en su</w:t>
      </w:r>
      <w:r w:rsidR="00CE0247">
        <w:rPr>
          <w:rFonts w:ascii="Palatino Linotype" w:hAnsi="Palatino Linotype" w:cs="Tahoma"/>
          <w:sz w:val="24"/>
          <w:szCs w:val="24"/>
        </w:rPr>
        <w:t>s</w:t>
      </w:r>
      <w:r w:rsidR="00053ABD">
        <w:rPr>
          <w:rFonts w:ascii="Palatino Linotype" w:hAnsi="Palatino Linotype" w:cs="Tahoma"/>
          <w:sz w:val="24"/>
          <w:szCs w:val="24"/>
        </w:rPr>
        <w:t xml:space="preserve"> artículo</w:t>
      </w:r>
      <w:r w:rsidR="00CE0247">
        <w:rPr>
          <w:rFonts w:ascii="Palatino Linotype" w:hAnsi="Palatino Linotype" w:cs="Tahoma"/>
          <w:sz w:val="24"/>
          <w:szCs w:val="24"/>
        </w:rPr>
        <w:t>s 128 y</w:t>
      </w:r>
      <w:r w:rsidR="00053ABD">
        <w:rPr>
          <w:rFonts w:ascii="Palatino Linotype" w:hAnsi="Palatino Linotype" w:cs="Tahoma"/>
          <w:sz w:val="24"/>
          <w:szCs w:val="24"/>
        </w:rPr>
        <w:t xml:space="preserve"> 137, establece que</w:t>
      </w:r>
      <w:r w:rsidR="00CE0247">
        <w:rPr>
          <w:rFonts w:ascii="Palatino Linotype" w:hAnsi="Palatino Linotype" w:cs="Tahoma"/>
          <w:sz w:val="24"/>
          <w:szCs w:val="24"/>
        </w:rPr>
        <w:t xml:space="preserve"> en los casos en que se niegue información por actualizarse algún supuesto de clasificación</w:t>
      </w:r>
      <w:r w:rsidR="0041468F">
        <w:rPr>
          <w:rFonts w:ascii="Palatino Linotype" w:hAnsi="Palatino Linotype" w:cs="Tahoma"/>
          <w:sz w:val="24"/>
          <w:szCs w:val="24"/>
        </w:rPr>
        <w:t>, el Comité de Transparencia debe abalizar la decisión y, c</w:t>
      </w:r>
      <w:r w:rsidR="00053ABD">
        <w:rPr>
          <w:rFonts w:ascii="Palatino Linotype" w:hAnsi="Palatino Linotype" w:cs="Tahoma"/>
          <w:sz w:val="24"/>
          <w:szCs w:val="24"/>
        </w:rPr>
        <w:t>uando se realice una versión pública de algún documento, se debe funda</w:t>
      </w:r>
      <w:r w:rsidR="00CE0247">
        <w:rPr>
          <w:rFonts w:ascii="Palatino Linotype" w:hAnsi="Palatino Linotype" w:cs="Tahoma"/>
          <w:sz w:val="24"/>
          <w:szCs w:val="24"/>
        </w:rPr>
        <w:t>r</w:t>
      </w:r>
      <w:r w:rsidR="00053ABD">
        <w:rPr>
          <w:rFonts w:ascii="Palatino Linotype" w:hAnsi="Palatino Linotype" w:cs="Tahoma"/>
          <w:sz w:val="24"/>
          <w:szCs w:val="24"/>
        </w:rPr>
        <w:t xml:space="preserve"> y </w:t>
      </w:r>
      <w:r w:rsidR="00CE0247">
        <w:rPr>
          <w:rFonts w:ascii="Palatino Linotype" w:hAnsi="Palatino Linotype" w:cs="Tahoma"/>
          <w:sz w:val="24"/>
          <w:szCs w:val="24"/>
        </w:rPr>
        <w:t xml:space="preserve">motivar la </w:t>
      </w:r>
      <w:r w:rsidR="00053ABD">
        <w:rPr>
          <w:rFonts w:ascii="Palatino Linotype" w:hAnsi="Palatino Linotype" w:cs="Tahoma"/>
          <w:sz w:val="24"/>
          <w:szCs w:val="24"/>
        </w:rPr>
        <w:t>clasificación</w:t>
      </w:r>
      <w:r w:rsidR="00CE0247">
        <w:rPr>
          <w:rFonts w:ascii="Palatino Linotype" w:hAnsi="Palatino Linotype" w:cs="Tahoma"/>
          <w:sz w:val="24"/>
          <w:szCs w:val="24"/>
        </w:rPr>
        <w:t xml:space="preserve"> de la información eliminada</w:t>
      </w:r>
      <w:r w:rsidR="0041468F">
        <w:rPr>
          <w:rFonts w:ascii="Palatino Linotype" w:hAnsi="Palatino Linotype" w:cs="Tahoma"/>
          <w:sz w:val="24"/>
          <w:szCs w:val="24"/>
        </w:rPr>
        <w:t>, por lo que se entiende que para tal efecto debe entregarse el respectivo acuerdo del Comité de Transparencia</w:t>
      </w:r>
      <w:r w:rsidR="00053ABD">
        <w:rPr>
          <w:rFonts w:ascii="Palatino Linotype" w:hAnsi="Palatino Linotype" w:cs="Tahoma"/>
          <w:sz w:val="24"/>
          <w:szCs w:val="24"/>
        </w:rPr>
        <w:t>; sin embargo</w:t>
      </w:r>
      <w:r w:rsidR="00CE0247">
        <w:rPr>
          <w:rFonts w:ascii="Palatino Linotype" w:hAnsi="Palatino Linotype" w:cs="Tahoma"/>
          <w:sz w:val="24"/>
          <w:szCs w:val="24"/>
        </w:rPr>
        <w:t>,</w:t>
      </w:r>
      <w:r w:rsidR="00053ABD">
        <w:rPr>
          <w:rFonts w:ascii="Palatino Linotype" w:hAnsi="Palatino Linotype" w:cs="Tahoma"/>
          <w:sz w:val="24"/>
          <w:szCs w:val="24"/>
        </w:rPr>
        <w:t xml:space="preserve"> si bien</w:t>
      </w:r>
      <w:r w:rsidR="00CE0247">
        <w:rPr>
          <w:rFonts w:ascii="Palatino Linotype" w:hAnsi="Palatino Linotype" w:cs="Tahoma"/>
          <w:sz w:val="24"/>
          <w:szCs w:val="24"/>
        </w:rPr>
        <w:t>,</w:t>
      </w:r>
      <w:r w:rsidR="00053ABD">
        <w:rPr>
          <w:rFonts w:ascii="Palatino Linotype" w:hAnsi="Palatino Linotype" w:cs="Tahoma"/>
          <w:sz w:val="24"/>
          <w:szCs w:val="24"/>
        </w:rPr>
        <w:t xml:space="preserve"> es un requisito </w:t>
      </w:r>
      <w:r w:rsidR="00A8152C">
        <w:rPr>
          <w:rFonts w:ascii="Palatino Linotype" w:hAnsi="Palatino Linotype" w:cs="Tahoma"/>
          <w:sz w:val="24"/>
          <w:szCs w:val="24"/>
        </w:rPr>
        <w:t xml:space="preserve">con el que obligatoriamente deben cumplir los Sujeto Obligados, </w:t>
      </w:r>
      <w:r w:rsidR="00071DD4" w:rsidRPr="008B303E">
        <w:rPr>
          <w:rFonts w:ascii="Palatino Linotype" w:hAnsi="Palatino Linotype" w:cs="Tahoma"/>
          <w:sz w:val="24"/>
          <w:szCs w:val="24"/>
        </w:rPr>
        <w:t>considero</w:t>
      </w:r>
      <w:r w:rsidR="00053ABD">
        <w:rPr>
          <w:rFonts w:ascii="Palatino Linotype" w:hAnsi="Palatino Linotype" w:cs="Tahoma"/>
          <w:sz w:val="24"/>
          <w:szCs w:val="24"/>
        </w:rPr>
        <w:t xml:space="preserve"> que al ser una cuestión consentida tácitamente por el Recurrente, </w:t>
      </w:r>
      <w:r w:rsidR="00071DD4" w:rsidRPr="008B303E">
        <w:rPr>
          <w:rFonts w:ascii="Palatino Linotype" w:hAnsi="Palatino Linotype" w:cs="Tahoma"/>
          <w:sz w:val="24"/>
          <w:szCs w:val="24"/>
        </w:rPr>
        <w:t>no</w:t>
      </w:r>
      <w:r w:rsidR="00053ABD">
        <w:rPr>
          <w:rFonts w:ascii="Palatino Linotype" w:hAnsi="Palatino Linotype" w:cs="Tahoma"/>
          <w:sz w:val="24"/>
          <w:szCs w:val="24"/>
        </w:rPr>
        <w:t xml:space="preserve"> se debió agregar, dentro del análisis de la </w:t>
      </w:r>
      <w:r w:rsidR="00A8152C">
        <w:rPr>
          <w:rFonts w:ascii="Palatino Linotype" w:hAnsi="Palatino Linotype" w:cs="Tahoma"/>
          <w:sz w:val="24"/>
          <w:szCs w:val="24"/>
        </w:rPr>
        <w:t>Resolución</w:t>
      </w:r>
      <w:r w:rsidR="00053ABD">
        <w:rPr>
          <w:rFonts w:ascii="Palatino Linotype" w:hAnsi="Palatino Linotype" w:cs="Tahoma"/>
          <w:sz w:val="24"/>
          <w:szCs w:val="24"/>
        </w:rPr>
        <w:t>, pronunciamiento alguno</w:t>
      </w:r>
      <w:r w:rsidR="00A8152C">
        <w:rPr>
          <w:rFonts w:ascii="Palatino Linotype" w:hAnsi="Palatino Linotype" w:cs="Tahoma"/>
          <w:sz w:val="24"/>
          <w:szCs w:val="24"/>
        </w:rPr>
        <w:t xml:space="preserve"> sobre las versiones públicas ya que no fueron recurridas</w:t>
      </w:r>
      <w:r w:rsidR="00053ABD">
        <w:rPr>
          <w:rFonts w:ascii="Palatino Linotype" w:hAnsi="Palatino Linotype" w:cs="Tahoma"/>
          <w:sz w:val="24"/>
          <w:szCs w:val="24"/>
        </w:rPr>
        <w:t>, ni ordenar la entrega de dicha documental</w:t>
      </w:r>
      <w:r w:rsidR="00071DD4" w:rsidRPr="008B303E">
        <w:rPr>
          <w:rFonts w:ascii="Palatino Linotype" w:hAnsi="Palatino Linotype" w:cs="Tahoma"/>
          <w:sz w:val="24"/>
          <w:szCs w:val="24"/>
        </w:rPr>
        <w:t>.</w:t>
      </w:r>
    </w:p>
    <w:p w:rsidR="00071DD4" w:rsidRPr="008B303E" w:rsidRDefault="00071DD4" w:rsidP="007B4483">
      <w:pPr>
        <w:spacing w:after="0" w:line="360" w:lineRule="auto"/>
        <w:jc w:val="both"/>
        <w:rPr>
          <w:rFonts w:ascii="Palatino Linotype" w:hAnsi="Palatino Linotype" w:cs="Tahoma"/>
          <w:sz w:val="24"/>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Por lo anterior, es que desde la óptica de un servidor, no se debe</w:t>
      </w:r>
      <w:r w:rsidR="00E736A9">
        <w:rPr>
          <w:rFonts w:ascii="Palatino Linotype" w:hAnsi="Palatino Linotype" w:cs="Tahoma"/>
          <w:sz w:val="24"/>
          <w:szCs w:val="24"/>
        </w:rPr>
        <w:t>n</w:t>
      </w:r>
      <w:r w:rsidRPr="008B303E">
        <w:rPr>
          <w:rFonts w:ascii="Palatino Linotype" w:hAnsi="Palatino Linotype" w:cs="Tahoma"/>
          <w:sz w:val="24"/>
          <w:szCs w:val="24"/>
        </w:rPr>
        <w:t xml:space="preserve"> añadir a la </w:t>
      </w:r>
      <w:r w:rsidRPr="008B303E">
        <w:rPr>
          <w:rFonts w:ascii="Palatino Linotype" w:hAnsi="Palatino Linotype" w:cs="Tahoma"/>
          <w:i/>
          <w:sz w:val="24"/>
          <w:szCs w:val="24"/>
        </w:rPr>
        <w:t xml:space="preserve">Litis </w:t>
      </w:r>
      <w:r w:rsidRPr="008B303E">
        <w:rPr>
          <w:rFonts w:ascii="Palatino Linotype" w:hAnsi="Palatino Linotype" w:cs="Tahoma"/>
          <w:sz w:val="24"/>
          <w:szCs w:val="24"/>
        </w:rPr>
        <w:t>de la presente resolución cuestiones que no fueron motivo de reclamo</w:t>
      </w:r>
      <w:r w:rsidR="00053ABD">
        <w:rPr>
          <w:rFonts w:ascii="Palatino Linotype" w:hAnsi="Palatino Linotype" w:cs="Tahoma"/>
          <w:sz w:val="24"/>
          <w:szCs w:val="24"/>
        </w:rPr>
        <w:t>, como lo es el Acuerdo del Comité</w:t>
      </w:r>
      <w:r w:rsidR="001E6E14">
        <w:rPr>
          <w:rFonts w:ascii="Palatino Linotype" w:hAnsi="Palatino Linotype" w:cs="Tahoma"/>
          <w:sz w:val="24"/>
          <w:szCs w:val="24"/>
        </w:rPr>
        <w:t xml:space="preserve"> de Transparencia</w:t>
      </w:r>
      <w:r w:rsidR="00053ABD">
        <w:rPr>
          <w:rFonts w:ascii="Palatino Linotype" w:hAnsi="Palatino Linotype" w:cs="Tahoma"/>
          <w:sz w:val="24"/>
          <w:szCs w:val="24"/>
        </w:rPr>
        <w:t>, toda vez que el R</w:t>
      </w:r>
      <w:r w:rsidRPr="008B303E">
        <w:rPr>
          <w:rFonts w:ascii="Palatino Linotype" w:hAnsi="Palatino Linotype" w:cs="Tahoma"/>
          <w:sz w:val="24"/>
          <w:szCs w:val="24"/>
        </w:rPr>
        <w:t xml:space="preserve">ecurrente contó con garantías para hacer valer su inconformidad, como el recurso de revisión en materia </w:t>
      </w:r>
      <w:r w:rsidRPr="008B303E">
        <w:rPr>
          <w:rFonts w:ascii="Palatino Linotype" w:hAnsi="Palatino Linotype" w:cs="Tahoma"/>
          <w:sz w:val="24"/>
          <w:szCs w:val="24"/>
        </w:rPr>
        <w:lastRenderedPageBreak/>
        <w:t xml:space="preserve">de transparencia y un tiempo razonable para presentar el medio de impugnación ante una autoridad especializada, como lo es este Instituto, por lo que el hecho de que esta autoridad </w:t>
      </w:r>
      <w:r w:rsidR="00E736A9" w:rsidRPr="008B303E">
        <w:rPr>
          <w:rFonts w:ascii="Palatino Linotype" w:hAnsi="Palatino Linotype" w:cs="Tahoma"/>
          <w:sz w:val="24"/>
          <w:szCs w:val="24"/>
        </w:rPr>
        <w:t>Resolutora</w:t>
      </w:r>
      <w:r w:rsidRPr="008B303E">
        <w:rPr>
          <w:rFonts w:ascii="Palatino Linotype" w:hAnsi="Palatino Linotype" w:cs="Tahoma"/>
          <w:sz w:val="24"/>
          <w:szCs w:val="24"/>
        </w:rPr>
        <w:t xml:space="preserve"> no analice la respuesta a los puntos de la solicitud que no fueron motivo de agravio por parte del </w:t>
      </w:r>
      <w:r w:rsidR="001E6E14">
        <w:rPr>
          <w:rFonts w:ascii="Palatino Linotype" w:hAnsi="Palatino Linotype" w:cs="Tahoma"/>
          <w:sz w:val="24"/>
          <w:szCs w:val="24"/>
        </w:rPr>
        <w:t>R</w:t>
      </w:r>
      <w:r w:rsidR="001E6E14" w:rsidRPr="008B303E">
        <w:rPr>
          <w:rFonts w:ascii="Palatino Linotype" w:hAnsi="Palatino Linotype" w:cs="Tahoma"/>
          <w:sz w:val="24"/>
          <w:szCs w:val="24"/>
        </w:rPr>
        <w:t>ecurrente</w:t>
      </w:r>
      <w:r w:rsidRPr="008B303E">
        <w:rPr>
          <w:rFonts w:ascii="Palatino Linotype" w:hAnsi="Palatino Linotype" w:cs="Tahoma"/>
          <w:sz w:val="24"/>
          <w:szCs w:val="24"/>
        </w:rPr>
        <w:t xml:space="preserve">, no violenta el derecho humano previsto por </w:t>
      </w:r>
      <w:r w:rsidR="00E736A9">
        <w:rPr>
          <w:rFonts w:ascii="Palatino Linotype" w:hAnsi="Palatino Linotype" w:cs="Tahoma"/>
          <w:sz w:val="24"/>
          <w:szCs w:val="24"/>
        </w:rPr>
        <w:t>los</w:t>
      </w:r>
      <w:r w:rsidRPr="008B303E">
        <w:rPr>
          <w:rFonts w:ascii="Palatino Linotype" w:hAnsi="Palatino Linotype" w:cs="Tahoma"/>
          <w:sz w:val="24"/>
          <w:szCs w:val="24"/>
        </w:rPr>
        <w:t xml:space="preserve"> artículo</w:t>
      </w:r>
      <w:r w:rsidR="00E736A9">
        <w:rPr>
          <w:rFonts w:ascii="Palatino Linotype" w:hAnsi="Palatino Linotype" w:cs="Tahoma"/>
          <w:sz w:val="24"/>
          <w:szCs w:val="24"/>
        </w:rPr>
        <w:t>s</w:t>
      </w:r>
      <w:r w:rsidRPr="008B303E">
        <w:rPr>
          <w:rFonts w:ascii="Palatino Linotype" w:hAnsi="Palatino Linotype" w:cs="Tahoma"/>
          <w:sz w:val="24"/>
          <w:szCs w:val="24"/>
        </w:rPr>
        <w:t xml:space="preserve"> 6° de la Constitución Política de los Estados Unidos Mexicanos y 5° de la Constitución </w:t>
      </w:r>
      <w:r w:rsidR="001E6E14">
        <w:rPr>
          <w:rFonts w:ascii="Palatino Linotype" w:hAnsi="Palatino Linotype" w:cs="Tahoma"/>
          <w:sz w:val="24"/>
          <w:szCs w:val="24"/>
        </w:rPr>
        <w:t xml:space="preserve">Política </w:t>
      </w:r>
      <w:r w:rsidRPr="008B303E">
        <w:rPr>
          <w:rFonts w:ascii="Palatino Linotype" w:hAnsi="Palatino Linotype" w:cs="Tahoma"/>
          <w:sz w:val="24"/>
          <w:szCs w:val="24"/>
        </w:rPr>
        <w:t>del Estado Libre y Soberano de México; lo anterior es así, en virtud de qu</w:t>
      </w:r>
      <w:bookmarkStart w:id="0" w:name="_GoBack"/>
      <w:bookmarkEnd w:id="0"/>
      <w:r w:rsidRPr="008B303E">
        <w:rPr>
          <w:rFonts w:ascii="Palatino Linotype" w:hAnsi="Palatino Linotype" w:cs="Tahoma"/>
          <w:sz w:val="24"/>
          <w:szCs w:val="24"/>
        </w:rPr>
        <w:t>e el actor manifestó únicamente inconformidad con la respuesta</w:t>
      </w:r>
      <w:r w:rsidR="007F4F7D" w:rsidRPr="008B303E">
        <w:rPr>
          <w:rFonts w:ascii="Palatino Linotype" w:hAnsi="Palatino Linotype" w:cs="Tahoma"/>
          <w:sz w:val="24"/>
          <w:szCs w:val="24"/>
        </w:rPr>
        <w:t xml:space="preserve"> referente </w:t>
      </w:r>
      <w:r w:rsidR="00053ABD">
        <w:rPr>
          <w:rFonts w:ascii="Palatino Linotype" w:hAnsi="Palatino Linotype" w:cs="Tahoma"/>
          <w:sz w:val="24"/>
          <w:szCs w:val="24"/>
        </w:rPr>
        <w:t>a la entrega incompleta, respecto al punto 3 de la solicitud</w:t>
      </w:r>
      <w:r w:rsidR="00E74654">
        <w:rPr>
          <w:rFonts w:ascii="Palatino Linotype" w:hAnsi="Palatino Linotype" w:cs="Tahoma"/>
          <w:sz w:val="24"/>
          <w:szCs w:val="24"/>
        </w:rPr>
        <w:t>.</w:t>
      </w:r>
    </w:p>
    <w:p w:rsidR="00071DD4" w:rsidRPr="008B303E" w:rsidRDefault="00071DD4" w:rsidP="007B4483">
      <w:pPr>
        <w:spacing w:after="0" w:line="360" w:lineRule="auto"/>
        <w:jc w:val="both"/>
        <w:rPr>
          <w:rFonts w:ascii="Palatino Linotype" w:hAnsi="Palatino Linotype" w:cs="Tahoma"/>
          <w:sz w:val="18"/>
          <w:szCs w:val="24"/>
        </w:rPr>
      </w:pPr>
    </w:p>
    <w:p w:rsidR="00071DD4" w:rsidRPr="008B303E" w:rsidRDefault="00071DD4" w:rsidP="00053ABD">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 xml:space="preserve">Por las consideraciones expuestas, concluyo </w:t>
      </w:r>
      <w:r w:rsidR="00053ABD">
        <w:rPr>
          <w:rFonts w:ascii="Palatino Linotype" w:hAnsi="Palatino Linotype" w:cs="Tahoma"/>
          <w:sz w:val="24"/>
          <w:szCs w:val="24"/>
        </w:rPr>
        <w:t>que en</w:t>
      </w:r>
      <w:r w:rsidRPr="008B303E">
        <w:rPr>
          <w:rFonts w:ascii="Palatino Linotype" w:hAnsi="Palatino Linotype" w:cs="Tahoma"/>
          <w:sz w:val="24"/>
          <w:szCs w:val="24"/>
        </w:rPr>
        <w:t xml:space="preserve"> el presente caso, </w:t>
      </w:r>
      <w:r w:rsidR="00053ABD">
        <w:rPr>
          <w:rFonts w:ascii="Palatino Linotype" w:hAnsi="Palatino Linotype" w:cs="Tahoma"/>
          <w:sz w:val="24"/>
          <w:szCs w:val="24"/>
        </w:rPr>
        <w:t xml:space="preserve">no resultaba procedente ordenar la entrega del </w:t>
      </w:r>
      <w:r w:rsidR="001E6E14">
        <w:rPr>
          <w:rFonts w:ascii="Palatino Linotype" w:hAnsi="Palatino Linotype" w:cs="Tahoma"/>
          <w:sz w:val="24"/>
          <w:szCs w:val="24"/>
        </w:rPr>
        <w:t xml:space="preserve">acuerdo </w:t>
      </w:r>
      <w:r w:rsidR="00053ABD">
        <w:rPr>
          <w:rFonts w:ascii="Palatino Linotype" w:hAnsi="Palatino Linotype" w:cs="Tahoma"/>
          <w:sz w:val="24"/>
          <w:szCs w:val="24"/>
        </w:rPr>
        <w:t xml:space="preserve">del Comité de Transparencia, que confirme la clasificación de los datos testados en las versiones públicas entregadas </w:t>
      </w:r>
      <w:proofErr w:type="gramStart"/>
      <w:r w:rsidR="00053ABD">
        <w:rPr>
          <w:rFonts w:ascii="Palatino Linotype" w:hAnsi="Palatino Linotype" w:cs="Tahoma"/>
          <w:sz w:val="24"/>
          <w:szCs w:val="24"/>
        </w:rPr>
        <w:t>en</w:t>
      </w:r>
      <w:proofErr w:type="gramEnd"/>
      <w:r w:rsidR="00053ABD">
        <w:rPr>
          <w:rFonts w:ascii="Palatino Linotype" w:hAnsi="Palatino Linotype" w:cs="Tahoma"/>
          <w:sz w:val="24"/>
          <w:szCs w:val="24"/>
        </w:rPr>
        <w:t xml:space="preserve"> respuesta, pues las mismas fueron consentidas por el ahora Recurrente.</w:t>
      </w:r>
    </w:p>
    <w:p w:rsidR="00071DD4" w:rsidRPr="008B303E" w:rsidRDefault="00071DD4" w:rsidP="007B4483">
      <w:pPr>
        <w:spacing w:after="0" w:line="360" w:lineRule="auto"/>
        <w:jc w:val="both"/>
        <w:rPr>
          <w:rFonts w:ascii="Palatino Linotype" w:hAnsi="Palatino Linotype" w:cs="Tahoma"/>
          <w:sz w:val="18"/>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 xml:space="preserve">Así, con base en los razonamientos expuestos, </w:t>
      </w:r>
      <w:r w:rsidRPr="008B303E">
        <w:rPr>
          <w:rFonts w:ascii="Palatino Linotype" w:hAnsi="Palatino Linotype" w:cs="Tahoma"/>
          <w:b/>
          <w:sz w:val="24"/>
          <w:szCs w:val="24"/>
        </w:rPr>
        <w:t>se emite el presente Voto Particular</w:t>
      </w:r>
      <w:r w:rsidRPr="008B303E">
        <w:rPr>
          <w:rFonts w:ascii="Palatino Linotype" w:hAnsi="Palatino Linotype" w:cs="Tahoma"/>
          <w:sz w:val="24"/>
          <w:szCs w:val="24"/>
        </w:rPr>
        <w:t>.</w:t>
      </w:r>
    </w:p>
    <w:p w:rsidR="00E736A9" w:rsidRDefault="00E736A9" w:rsidP="007B4483">
      <w:pPr>
        <w:spacing w:after="0" w:line="360" w:lineRule="auto"/>
        <w:jc w:val="center"/>
        <w:rPr>
          <w:rFonts w:ascii="Palatino Linotype" w:hAnsi="Palatino Linotype" w:cs="Tahoma"/>
          <w:b/>
          <w:sz w:val="24"/>
          <w:szCs w:val="24"/>
        </w:rPr>
      </w:pPr>
    </w:p>
    <w:p w:rsidR="00071DD4" w:rsidRPr="008B303E" w:rsidRDefault="00071DD4" w:rsidP="007B4483">
      <w:pPr>
        <w:spacing w:after="0" w:line="360" w:lineRule="auto"/>
        <w:jc w:val="center"/>
        <w:rPr>
          <w:rFonts w:ascii="Palatino Linotype" w:hAnsi="Palatino Linotype" w:cs="Tahoma"/>
          <w:b/>
          <w:sz w:val="24"/>
          <w:szCs w:val="24"/>
        </w:rPr>
      </w:pPr>
      <w:r w:rsidRPr="008B303E">
        <w:rPr>
          <w:rFonts w:ascii="Palatino Linotype" w:hAnsi="Palatino Linotype" w:cs="Tahoma"/>
          <w:b/>
          <w:sz w:val="24"/>
          <w:szCs w:val="24"/>
        </w:rPr>
        <w:t>(Rúbrica)</w:t>
      </w:r>
    </w:p>
    <w:p w:rsidR="00071DD4" w:rsidRPr="008B303E" w:rsidRDefault="00071DD4" w:rsidP="007B4483">
      <w:pPr>
        <w:spacing w:after="0" w:line="360" w:lineRule="auto"/>
        <w:jc w:val="center"/>
        <w:rPr>
          <w:rFonts w:ascii="Palatino Linotype" w:hAnsi="Palatino Linotype" w:cs="Tahoma"/>
          <w:b/>
          <w:sz w:val="24"/>
          <w:szCs w:val="24"/>
        </w:rPr>
      </w:pPr>
      <w:r w:rsidRPr="008B303E">
        <w:rPr>
          <w:rFonts w:ascii="Palatino Linotype" w:hAnsi="Palatino Linotype" w:cs="Tahoma"/>
          <w:b/>
          <w:sz w:val="24"/>
          <w:szCs w:val="24"/>
        </w:rPr>
        <w:t>Luis Gustavo Parra Noriega</w:t>
      </w:r>
    </w:p>
    <w:p w:rsidR="00040AE0" w:rsidRPr="008B303E" w:rsidRDefault="00071DD4" w:rsidP="007B4483">
      <w:pPr>
        <w:spacing w:after="0" w:line="360" w:lineRule="auto"/>
        <w:jc w:val="center"/>
        <w:rPr>
          <w:rFonts w:ascii="Palatino Linotype" w:hAnsi="Palatino Linotype"/>
        </w:rPr>
      </w:pPr>
      <w:r w:rsidRPr="008B303E">
        <w:rPr>
          <w:rFonts w:ascii="Palatino Linotype" w:hAnsi="Palatino Linotype" w:cs="Tahoma"/>
          <w:sz w:val="24"/>
          <w:szCs w:val="24"/>
        </w:rPr>
        <w:t>Comisionado</w:t>
      </w:r>
    </w:p>
    <w:sectPr w:rsidR="00040AE0" w:rsidRPr="008B303E" w:rsidSect="008B303E">
      <w:headerReference w:type="default" r:id="rId7"/>
      <w:footerReference w:type="default" r:id="rId8"/>
      <w:pgSz w:w="12240" w:h="15840" w:code="1"/>
      <w:pgMar w:top="1417" w:right="1701" w:bottom="1417"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59A" w:rsidRDefault="00C7259A">
      <w:pPr>
        <w:spacing w:after="0" w:line="240" w:lineRule="auto"/>
      </w:pPr>
      <w:r>
        <w:separator/>
      </w:r>
    </w:p>
  </w:endnote>
  <w:endnote w:type="continuationSeparator" w:id="0">
    <w:p w:rsidR="00C7259A" w:rsidRDefault="00C72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010114"/>
      <w:docPartObj>
        <w:docPartGallery w:val="Page Numbers (Bottom of Page)"/>
        <w:docPartUnique/>
      </w:docPartObj>
    </w:sdtPr>
    <w:sdtEndPr/>
    <w:sdtContent>
      <w:sdt>
        <w:sdtPr>
          <w:id w:val="1728636285"/>
          <w:docPartObj>
            <w:docPartGallery w:val="Page Numbers (Top of Page)"/>
            <w:docPartUnique/>
          </w:docPartObj>
        </w:sdtPr>
        <w:sdtEndPr/>
        <w:sdtContent>
          <w:p w:rsidR="003E4648" w:rsidRDefault="00F4211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25277">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25277">
              <w:rPr>
                <w:b/>
                <w:bCs/>
                <w:noProof/>
              </w:rPr>
              <w:t>6</w:t>
            </w:r>
            <w:r>
              <w:rPr>
                <w:b/>
                <w:bCs/>
                <w:sz w:val="24"/>
                <w:szCs w:val="24"/>
              </w:rPr>
              <w:fldChar w:fldCharType="end"/>
            </w:r>
          </w:p>
        </w:sdtContent>
      </w:sdt>
    </w:sdtContent>
  </w:sdt>
  <w:p w:rsidR="007C4D31" w:rsidRDefault="00C725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59A" w:rsidRDefault="00C7259A">
      <w:pPr>
        <w:spacing w:after="0" w:line="240" w:lineRule="auto"/>
      </w:pPr>
      <w:r>
        <w:separator/>
      </w:r>
    </w:p>
  </w:footnote>
  <w:footnote w:type="continuationSeparator" w:id="0">
    <w:p w:rsidR="00C7259A" w:rsidRDefault="00C72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1106EA">
      <w:trPr>
        <w:trHeight w:val="2280"/>
      </w:trPr>
      <w:tc>
        <w:tcPr>
          <w:tcW w:w="2830" w:type="dxa"/>
          <w:vAlign w:val="bottom"/>
        </w:tcPr>
        <w:p w:rsidR="0077694E" w:rsidRDefault="00F42117" w:rsidP="0077694E">
          <w:pPr>
            <w:pStyle w:val="Encabezado"/>
            <w:tabs>
              <w:tab w:val="clear" w:pos="4252"/>
              <w:tab w:val="center" w:pos="2614"/>
            </w:tabs>
            <w:ind w:left="-255"/>
          </w:pPr>
          <w:r>
            <w:rPr>
              <w:noProof/>
              <w:sz w:val="10"/>
              <w:szCs w:val="10"/>
              <w:lang w:val="es-MX" w:eastAsia="es-MX"/>
            </w:rPr>
            <w:drawing>
              <wp:inline distT="0" distB="0" distL="0" distR="0" wp14:anchorId="255A330A" wp14:editId="1064D9E2">
                <wp:extent cx="1873633" cy="11265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C7259A" w:rsidP="0077694E">
          <w:pPr>
            <w:pStyle w:val="Encabezado"/>
            <w:tabs>
              <w:tab w:val="clear" w:pos="4252"/>
              <w:tab w:val="center" w:pos="2614"/>
            </w:tabs>
          </w:pPr>
        </w:p>
      </w:tc>
      <w:tc>
        <w:tcPr>
          <w:tcW w:w="6237" w:type="dxa"/>
          <w:vAlign w:val="center"/>
        </w:tcPr>
        <w:p w:rsidR="001106EA" w:rsidRPr="001106EA" w:rsidRDefault="00C7259A" w:rsidP="006812A4">
          <w:pPr>
            <w:pStyle w:val="Encabezado"/>
            <w:tabs>
              <w:tab w:val="left" w:pos="6134"/>
            </w:tabs>
            <w:ind w:left="-108" w:right="-250"/>
            <w:jc w:val="both"/>
            <w:rPr>
              <w:rFonts w:ascii="Tahoma" w:hAnsi="Tahoma" w:cs="Tahoma"/>
            </w:rPr>
          </w:pPr>
        </w:p>
        <w:p w:rsidR="001106EA" w:rsidRPr="008B303E" w:rsidRDefault="00F42117" w:rsidP="006812A4">
          <w:pPr>
            <w:pStyle w:val="Encabezado"/>
            <w:tabs>
              <w:tab w:val="left" w:pos="6134"/>
            </w:tabs>
            <w:ind w:left="-108" w:right="-250"/>
            <w:jc w:val="both"/>
            <w:rPr>
              <w:rFonts w:ascii="Palatino Linotype" w:hAnsi="Palatino Linotype" w:cs="Tahoma"/>
              <w:b/>
            </w:rPr>
          </w:pPr>
          <w:r w:rsidRPr="008B303E">
            <w:rPr>
              <w:rFonts w:ascii="Palatino Linotype" w:hAnsi="Palatino Linotype" w:cs="Tahoma"/>
              <w:b/>
            </w:rPr>
            <w:t>Voto Particular</w:t>
          </w:r>
        </w:p>
        <w:p w:rsidR="00053ABD" w:rsidRDefault="00F42117" w:rsidP="006812A4">
          <w:pPr>
            <w:pStyle w:val="Encabezado"/>
            <w:tabs>
              <w:tab w:val="left" w:pos="6134"/>
            </w:tabs>
            <w:ind w:left="-108" w:right="-250"/>
            <w:jc w:val="both"/>
            <w:rPr>
              <w:rFonts w:ascii="Palatino Linotype" w:hAnsi="Palatino Linotype" w:cs="Tahoma"/>
              <w:b/>
              <w:bCs/>
            </w:rPr>
          </w:pPr>
          <w:r w:rsidRPr="008B303E">
            <w:rPr>
              <w:rFonts w:ascii="Palatino Linotype" w:hAnsi="Palatino Linotype" w:cs="Tahoma"/>
              <w:b/>
            </w:rPr>
            <w:t xml:space="preserve">Recurso de Revisión: </w:t>
          </w:r>
          <w:r w:rsidR="00053ABD" w:rsidRPr="00053ABD">
            <w:rPr>
              <w:rFonts w:ascii="Palatino Linotype" w:hAnsi="Palatino Linotype" w:cs="Tahoma"/>
              <w:b/>
            </w:rPr>
            <w:t>03725</w:t>
          </w:r>
          <w:r w:rsidR="00053ABD" w:rsidRPr="00053ABD">
            <w:rPr>
              <w:rFonts w:ascii="Palatino Linotype" w:hAnsi="Palatino Linotype" w:cs="Tahoma"/>
              <w:b/>
              <w:bCs/>
            </w:rPr>
            <w:t xml:space="preserve">/INFOEM/IP/RR/2018 </w:t>
          </w:r>
        </w:p>
        <w:p w:rsidR="008B303E" w:rsidRPr="00E27C76" w:rsidRDefault="008B303E" w:rsidP="00B25277">
          <w:pPr>
            <w:pStyle w:val="Encabezado"/>
            <w:tabs>
              <w:tab w:val="left" w:pos="5851"/>
            </w:tabs>
            <w:ind w:left="-108" w:right="170"/>
            <w:jc w:val="both"/>
            <w:rPr>
              <w:rFonts w:ascii="Palatino Linotype" w:hAnsi="Palatino Linotype" w:cs="Tahoma"/>
              <w:b/>
              <w:lang w:val="es-ES_tradnl"/>
            </w:rPr>
          </w:pPr>
          <w:r>
            <w:rPr>
              <w:rFonts w:ascii="Palatino Linotype" w:hAnsi="Palatino Linotype" w:cs="Tahoma"/>
              <w:b/>
              <w:lang w:val="es-ES_tradnl"/>
            </w:rPr>
            <w:t xml:space="preserve">Sujeto Obligado: </w:t>
          </w:r>
          <w:r w:rsidR="00053ABD" w:rsidRPr="00053ABD">
            <w:rPr>
              <w:rFonts w:ascii="Palatino Linotype" w:hAnsi="Palatino Linotype" w:cs="Tahoma"/>
              <w:b/>
              <w:lang w:val="es-ES_tradnl"/>
            </w:rPr>
            <w:t>Colegio de Educación Profesional Técnica del Estado de México</w:t>
          </w:r>
        </w:p>
        <w:p w:rsidR="00D17F1D" w:rsidRPr="001106EA" w:rsidRDefault="00053ABD" w:rsidP="00053ABD">
          <w:pPr>
            <w:pStyle w:val="Encabezado"/>
            <w:tabs>
              <w:tab w:val="left" w:pos="6134"/>
            </w:tabs>
            <w:ind w:left="-108" w:right="-250"/>
            <w:jc w:val="both"/>
            <w:rPr>
              <w:rFonts w:ascii="Tahoma" w:hAnsi="Tahoma" w:cs="Tahoma"/>
            </w:rPr>
          </w:pPr>
          <w:r>
            <w:rPr>
              <w:rFonts w:ascii="Palatino Linotype" w:hAnsi="Palatino Linotype" w:cs="Tahoma"/>
              <w:b/>
            </w:rPr>
            <w:t>Comisionada</w:t>
          </w:r>
          <w:r w:rsidR="00F42117" w:rsidRPr="008B303E">
            <w:rPr>
              <w:rFonts w:ascii="Palatino Linotype" w:hAnsi="Palatino Linotype" w:cs="Tahoma"/>
              <w:b/>
            </w:rPr>
            <w:t xml:space="preserve"> Ponente: </w:t>
          </w:r>
          <w:r w:rsidRPr="00053ABD">
            <w:rPr>
              <w:rFonts w:ascii="Palatino Linotype" w:hAnsi="Palatino Linotype" w:cs="Tahoma"/>
              <w:b/>
            </w:rPr>
            <w:t>Zulema Martínez Sánchez</w:t>
          </w:r>
        </w:p>
      </w:tc>
    </w:tr>
  </w:tbl>
  <w:p w:rsidR="00D55429" w:rsidRPr="001106EA" w:rsidRDefault="00C7259A">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F333D"/>
    <w:multiLevelType w:val="hybridMultilevel"/>
    <w:tmpl w:val="9502FF1C"/>
    <w:lvl w:ilvl="0" w:tplc="5AE6A0FC">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AA9597E"/>
    <w:multiLevelType w:val="hybridMultilevel"/>
    <w:tmpl w:val="F9467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6CAD09D8"/>
    <w:multiLevelType w:val="hybridMultilevel"/>
    <w:tmpl w:val="CED685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FCC0D77"/>
    <w:multiLevelType w:val="hybridMultilevel"/>
    <w:tmpl w:val="70A00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D4"/>
    <w:rsid w:val="00037555"/>
    <w:rsid w:val="00053ABD"/>
    <w:rsid w:val="000666DE"/>
    <w:rsid w:val="00071DD4"/>
    <w:rsid w:val="000B381B"/>
    <w:rsid w:val="001E087F"/>
    <w:rsid w:val="001E6E14"/>
    <w:rsid w:val="002660E2"/>
    <w:rsid w:val="002E006C"/>
    <w:rsid w:val="003A5EE0"/>
    <w:rsid w:val="003A7450"/>
    <w:rsid w:val="00412102"/>
    <w:rsid w:val="0041468F"/>
    <w:rsid w:val="0042054B"/>
    <w:rsid w:val="004F46AD"/>
    <w:rsid w:val="00503F24"/>
    <w:rsid w:val="0050710E"/>
    <w:rsid w:val="00562484"/>
    <w:rsid w:val="005C7AEF"/>
    <w:rsid w:val="005D5183"/>
    <w:rsid w:val="00624346"/>
    <w:rsid w:val="006812A4"/>
    <w:rsid w:val="00697B29"/>
    <w:rsid w:val="006B59E0"/>
    <w:rsid w:val="007364C6"/>
    <w:rsid w:val="007B4483"/>
    <w:rsid w:val="007C0333"/>
    <w:rsid w:val="007F4F7D"/>
    <w:rsid w:val="00816A0C"/>
    <w:rsid w:val="008B303E"/>
    <w:rsid w:val="00906D21"/>
    <w:rsid w:val="00923D48"/>
    <w:rsid w:val="00997769"/>
    <w:rsid w:val="009E4D5A"/>
    <w:rsid w:val="00A37921"/>
    <w:rsid w:val="00A8152C"/>
    <w:rsid w:val="00AB0D44"/>
    <w:rsid w:val="00AF0152"/>
    <w:rsid w:val="00B1616E"/>
    <w:rsid w:val="00B25277"/>
    <w:rsid w:val="00B43F4B"/>
    <w:rsid w:val="00BC17C1"/>
    <w:rsid w:val="00BF00D7"/>
    <w:rsid w:val="00C7259A"/>
    <w:rsid w:val="00CE0247"/>
    <w:rsid w:val="00D0798A"/>
    <w:rsid w:val="00D84D7B"/>
    <w:rsid w:val="00DB03B7"/>
    <w:rsid w:val="00DF1276"/>
    <w:rsid w:val="00DF27A8"/>
    <w:rsid w:val="00E27C76"/>
    <w:rsid w:val="00E736A9"/>
    <w:rsid w:val="00E74654"/>
    <w:rsid w:val="00EA3C57"/>
    <w:rsid w:val="00F42117"/>
    <w:rsid w:val="00F855BA"/>
    <w:rsid w:val="00F86F4C"/>
    <w:rsid w:val="00FD4BEA"/>
    <w:rsid w:val="00FF2D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6E98FE-78F2-4427-A089-58C76C55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DD4"/>
    <w:rPr>
      <w:lang w:val="es-ES"/>
    </w:rPr>
  </w:style>
  <w:style w:type="paragraph" w:styleId="Ttulo2">
    <w:name w:val="heading 2"/>
    <w:basedOn w:val="Normal"/>
    <w:next w:val="Normal"/>
    <w:link w:val="Ttulo2Car"/>
    <w:uiPriority w:val="9"/>
    <w:unhideWhenUsed/>
    <w:qFormat/>
    <w:rsid w:val="00AF0152"/>
    <w:pPr>
      <w:keepNext/>
      <w:keepLines/>
      <w:spacing w:before="40" w:after="0"/>
      <w:outlineLvl w:val="1"/>
    </w:pPr>
    <w:rPr>
      <w:rFonts w:asciiTheme="majorHAnsi" w:eastAsiaTheme="majorEastAsia" w:hAnsiTheme="majorHAnsi" w:cstheme="majorBidi"/>
      <w:color w:val="2E74B5" w:themeColor="accent1" w:themeShade="BF"/>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1D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1DD4"/>
    <w:rPr>
      <w:lang w:val="es-ES"/>
    </w:rPr>
  </w:style>
  <w:style w:type="paragraph" w:styleId="Piedepgina">
    <w:name w:val="footer"/>
    <w:basedOn w:val="Normal"/>
    <w:link w:val="PiedepginaCar"/>
    <w:uiPriority w:val="99"/>
    <w:unhideWhenUsed/>
    <w:rsid w:val="00071D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1DD4"/>
    <w:rPr>
      <w:lang w:val="es-ES"/>
    </w:rPr>
  </w:style>
  <w:style w:type="table" w:styleId="Tablaconcuadrcula">
    <w:name w:val="Table Grid"/>
    <w:basedOn w:val="Tablanormal"/>
    <w:uiPriority w:val="39"/>
    <w:rsid w:val="00071DD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71DD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0152"/>
    <w:rPr>
      <w:lang w:val="es-ES"/>
    </w:rPr>
  </w:style>
  <w:style w:type="character" w:customStyle="1" w:styleId="Ttulo2Car">
    <w:name w:val="Título 2 Car"/>
    <w:basedOn w:val="Fuentedeprrafopredeter"/>
    <w:link w:val="Ttulo2"/>
    <w:uiPriority w:val="9"/>
    <w:rsid w:val="00AF0152"/>
    <w:rPr>
      <w:rFonts w:asciiTheme="majorHAnsi" w:eastAsiaTheme="majorEastAsia" w:hAnsiTheme="majorHAnsi" w:cstheme="majorBidi"/>
      <w:color w:val="2E74B5" w:themeColor="accent1" w:themeShade="BF"/>
      <w:sz w:val="26"/>
      <w:szCs w:val="2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F12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F1276"/>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F1276"/>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1376</Words>
  <Characters>7570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USER</cp:lastModifiedBy>
  <cp:revision>8</cp:revision>
  <dcterms:created xsi:type="dcterms:W3CDTF">2018-12-10T22:06:00Z</dcterms:created>
  <dcterms:modified xsi:type="dcterms:W3CDTF">2018-12-10T22:55:00Z</dcterms:modified>
</cp:coreProperties>
</file>